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80" w:rsidRDefault="002E7E80" w:rsidP="002E7E80">
      <w:pPr>
        <w:pStyle w:val="NormalWeb"/>
        <w:rPr>
          <w:rFonts w:ascii="Tahoma" w:hAnsi="Tahoma"/>
          <w:b/>
          <w:bCs/>
          <w:sz w:val="22"/>
          <w:szCs w:val="22"/>
        </w:rPr>
      </w:pPr>
    </w:p>
    <w:p w:rsidR="002E7E80" w:rsidRDefault="002E7E80" w:rsidP="002E7E80">
      <w:pPr>
        <w:pStyle w:val="NormalWeb"/>
        <w:rPr>
          <w:rFonts w:eastAsia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CCB7AA" wp14:editId="32AEFCC1">
                <wp:simplePos x="0" y="0"/>
                <wp:positionH relativeFrom="page">
                  <wp:posOffset>740410</wp:posOffset>
                </wp:positionH>
                <wp:positionV relativeFrom="line">
                  <wp:posOffset>205740</wp:posOffset>
                </wp:positionV>
                <wp:extent cx="5952490" cy="8890"/>
                <wp:effectExtent l="19050" t="19050" r="29210" b="29210"/>
                <wp:wrapNone/>
                <wp:docPr id="1073741827" name="Düz Bağlayıcı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8255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418C8" id="Düz Bağlayıcı 10737418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58.3pt,16.2pt" to="52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" strokecolor="#4498c7" strokeweight="2.25pt">
                <w10:wrap anchorx="page" anchory="line"/>
              </v:line>
            </w:pict>
          </mc:Fallback>
        </mc:AlternateContent>
      </w:r>
      <w:r>
        <w:rPr>
          <w:rStyle w:val="YokA"/>
          <w:rFonts w:ascii="Tahoma" w:hAnsi="Tahoma"/>
          <w:b/>
          <w:bCs/>
          <w:sz w:val="22"/>
          <w:szCs w:val="22"/>
        </w:rPr>
        <w:t xml:space="preserve">Basın Bülteni                                                                                             </w:t>
      </w:r>
      <w:r w:rsidR="00312210">
        <w:rPr>
          <w:rStyle w:val="YokA"/>
          <w:rFonts w:ascii="Tahoma" w:hAnsi="Tahoma"/>
          <w:b/>
          <w:bCs/>
          <w:sz w:val="22"/>
          <w:szCs w:val="22"/>
        </w:rPr>
        <w:t>Ekim</w:t>
      </w:r>
      <w:r>
        <w:rPr>
          <w:rStyle w:val="YokA"/>
          <w:rFonts w:ascii="Tahoma" w:hAnsi="Tahoma"/>
          <w:b/>
          <w:bCs/>
          <w:sz w:val="22"/>
          <w:szCs w:val="22"/>
        </w:rPr>
        <w:t xml:space="preserve"> 2021</w:t>
      </w:r>
    </w:p>
    <w:p w:rsidR="002E7E80" w:rsidRDefault="002E7E80" w:rsidP="002E7E80">
      <w:pPr>
        <w:pStyle w:val="SaptanmA"/>
        <w:suppressAutoHyphens/>
        <w:spacing w:line="276" w:lineRule="auto"/>
        <w:jc w:val="both"/>
        <w:rPr>
          <w:rStyle w:val="YokA"/>
          <w:b/>
          <w:bCs/>
          <w:sz w:val="20"/>
          <w:szCs w:val="20"/>
          <w:lang w:val="tr-TR"/>
        </w:rPr>
      </w:pPr>
    </w:p>
    <w:p w:rsidR="002E7E80" w:rsidRPr="00D55B30" w:rsidRDefault="002E7E80" w:rsidP="002E7E80">
      <w:pPr>
        <w:pStyle w:val="SaptanmA"/>
        <w:suppressAutoHyphens/>
        <w:spacing w:line="276" w:lineRule="auto"/>
        <w:jc w:val="center"/>
        <w:rPr>
          <w:rStyle w:val="YokA"/>
          <w:rFonts w:ascii="Tahoma" w:hAnsi="Tahoma" w:cs="Tahoma"/>
          <w:b/>
          <w:bCs/>
          <w:sz w:val="28"/>
          <w:szCs w:val="20"/>
          <w:lang w:val="tr-TR"/>
        </w:rPr>
      </w:pPr>
      <w:r w:rsidRPr="00D55B30">
        <w:rPr>
          <w:rStyle w:val="YokA"/>
          <w:rFonts w:ascii="Tahoma" w:hAnsi="Tahoma" w:cs="Tahoma"/>
          <w:b/>
          <w:bCs/>
          <w:sz w:val="32"/>
          <w:szCs w:val="20"/>
          <w:lang w:val="tr-TR"/>
        </w:rPr>
        <w:t>STM YENİ SİBER TEHDİT DURUM RAPORUNU AÇIKLADI</w:t>
      </w:r>
    </w:p>
    <w:p w:rsidR="00D72EFA" w:rsidRPr="00036D84" w:rsidRDefault="00D72EFA" w:rsidP="00D72EFA">
      <w:pPr>
        <w:pStyle w:val="SaptanmA"/>
        <w:tabs>
          <w:tab w:val="left" w:pos="2025"/>
        </w:tabs>
        <w:suppressAutoHyphens/>
        <w:spacing w:line="276" w:lineRule="auto"/>
        <w:jc w:val="center"/>
        <w:rPr>
          <w:rStyle w:val="YokA"/>
          <w:rFonts w:ascii="Tahoma" w:hAnsi="Tahoma" w:cs="Tahoma"/>
          <w:b/>
          <w:bCs/>
          <w:szCs w:val="20"/>
          <w:lang w:val="tr-TR"/>
        </w:rPr>
      </w:pPr>
      <w:r w:rsidRPr="00036D84">
        <w:rPr>
          <w:rStyle w:val="YokA"/>
          <w:rFonts w:ascii="Tahoma" w:hAnsi="Tahoma" w:cs="Tahoma"/>
          <w:b/>
          <w:bCs/>
          <w:szCs w:val="20"/>
          <w:lang w:val="tr-TR"/>
        </w:rPr>
        <w:t>BİLGİSAYAR OYUNLARINDA HİLE TEHLİKESİ:</w:t>
      </w:r>
    </w:p>
    <w:p w:rsidR="00D72EFA" w:rsidRPr="00036D84" w:rsidRDefault="00D72EFA" w:rsidP="00D72EFA">
      <w:pPr>
        <w:pStyle w:val="SaptanmA"/>
        <w:tabs>
          <w:tab w:val="left" w:pos="2025"/>
        </w:tabs>
        <w:suppressAutoHyphens/>
        <w:spacing w:line="276" w:lineRule="auto"/>
        <w:jc w:val="center"/>
        <w:rPr>
          <w:rStyle w:val="YokA"/>
          <w:rFonts w:ascii="Tahoma" w:hAnsi="Tahoma" w:cs="Tahoma"/>
          <w:b/>
          <w:bCs/>
          <w:szCs w:val="20"/>
          <w:lang w:val="tr-TR"/>
        </w:rPr>
      </w:pPr>
      <w:r w:rsidRPr="00036D84">
        <w:rPr>
          <w:rStyle w:val="YokA"/>
          <w:rFonts w:ascii="Tahoma" w:hAnsi="Tahoma" w:cs="Tahoma"/>
          <w:b/>
          <w:bCs/>
          <w:szCs w:val="20"/>
          <w:lang w:val="tr-TR"/>
        </w:rPr>
        <w:t>HİLE GÖRÜNÜMLÜ ZARARLI YAZILIMLARLA, BİLGİLERİNİZ ÇALINABİLİR</w:t>
      </w:r>
      <w:r w:rsidR="00C1718E" w:rsidRPr="00036D84">
        <w:rPr>
          <w:rStyle w:val="YokA"/>
          <w:rFonts w:ascii="Tahoma" w:hAnsi="Tahoma" w:cs="Tahoma"/>
          <w:b/>
          <w:bCs/>
          <w:szCs w:val="20"/>
          <w:lang w:val="tr-TR"/>
        </w:rPr>
        <w:t>!</w:t>
      </w:r>
    </w:p>
    <w:p w:rsidR="00D72EFA" w:rsidRPr="007E40A5" w:rsidRDefault="002E7E80" w:rsidP="00D72EFA">
      <w:pPr>
        <w:pStyle w:val="SaptanmA"/>
        <w:tabs>
          <w:tab w:val="left" w:pos="2025"/>
        </w:tabs>
        <w:suppressAutoHyphens/>
        <w:spacing w:line="276" w:lineRule="auto"/>
        <w:jc w:val="both"/>
        <w:rPr>
          <w:rStyle w:val="YokA"/>
          <w:rFonts w:ascii="Tahoma" w:hAnsi="Tahoma" w:cs="Tahoma"/>
          <w:b/>
          <w:bCs/>
          <w:lang w:val="tr-TR"/>
        </w:rPr>
      </w:pPr>
      <w:r w:rsidRPr="007E40A5">
        <w:rPr>
          <w:rStyle w:val="YokA"/>
          <w:rFonts w:ascii="Tahoma" w:hAnsi="Tahoma" w:cs="Tahoma"/>
          <w:b/>
          <w:bCs/>
          <w:lang w:val="tr-TR"/>
        </w:rPr>
        <w:t xml:space="preserve">Türkiye’de siber güvenlik alanında önemli projelere ve yerli ürünlere imza atan </w:t>
      </w:r>
      <w:proofErr w:type="spellStart"/>
      <w:r w:rsidRPr="007E40A5">
        <w:rPr>
          <w:rStyle w:val="YokA"/>
          <w:rFonts w:ascii="Tahoma" w:hAnsi="Tahoma" w:cs="Tahoma"/>
          <w:b/>
          <w:bCs/>
          <w:lang w:val="tr-TR"/>
        </w:rPr>
        <w:t>STM’nin</w:t>
      </w:r>
      <w:proofErr w:type="spellEnd"/>
      <w:r w:rsidRPr="007E40A5">
        <w:rPr>
          <w:rStyle w:val="YokA"/>
          <w:rFonts w:ascii="Tahoma" w:hAnsi="Tahoma" w:cs="Tahoma"/>
          <w:b/>
          <w:bCs/>
          <w:lang w:val="tr-TR"/>
        </w:rPr>
        <w:t xml:space="preserve"> Teknolojik Düşünce Merkezi “</w:t>
      </w:r>
      <w:proofErr w:type="spellStart"/>
      <w:r w:rsidRPr="007E40A5">
        <w:rPr>
          <w:rStyle w:val="YokA"/>
          <w:rFonts w:ascii="Tahoma" w:hAnsi="Tahoma" w:cs="Tahoma"/>
          <w:b/>
          <w:bCs/>
          <w:lang w:val="tr-TR"/>
        </w:rPr>
        <w:t>ThinkTech</w:t>
      </w:r>
      <w:proofErr w:type="spellEnd"/>
      <w:r w:rsidRPr="007E40A5">
        <w:rPr>
          <w:rStyle w:val="YokA"/>
          <w:rFonts w:ascii="Tahoma" w:hAnsi="Tahoma" w:cs="Tahoma"/>
          <w:b/>
          <w:bCs/>
          <w:lang w:val="tr-TR"/>
        </w:rPr>
        <w:t xml:space="preserve">”, Temmuz-Eylül 2021 tarihlerini kapsayan yeni Siber Tehdit Durum Raporu’nu açıkladı. Raporda, </w:t>
      </w:r>
      <w:r w:rsidR="00D72EFA" w:rsidRPr="007E40A5">
        <w:rPr>
          <w:rStyle w:val="YokA"/>
          <w:rFonts w:ascii="Tahoma" w:hAnsi="Tahoma" w:cs="Tahoma"/>
          <w:b/>
          <w:bCs/>
          <w:lang w:val="tr-TR"/>
        </w:rPr>
        <w:t>bilgisayar oyunlarında başvurulan oyun hilelerinin, zararlı yazılım</w:t>
      </w:r>
      <w:r w:rsidR="00F8632F" w:rsidRPr="007E40A5">
        <w:rPr>
          <w:rStyle w:val="YokA"/>
          <w:rFonts w:ascii="Tahoma" w:hAnsi="Tahoma" w:cs="Tahoma"/>
          <w:b/>
          <w:bCs/>
          <w:lang w:val="tr-TR"/>
        </w:rPr>
        <w:t xml:space="preserve"> üreticilerini</w:t>
      </w:r>
      <w:r w:rsidR="00D72EFA" w:rsidRPr="007E40A5">
        <w:rPr>
          <w:rStyle w:val="YokA"/>
          <w:rFonts w:ascii="Tahoma" w:hAnsi="Tahoma" w:cs="Tahoma"/>
          <w:b/>
          <w:bCs/>
          <w:lang w:val="tr-TR"/>
        </w:rPr>
        <w:t xml:space="preserve"> harekete geçirdiği ve oyun hilesi görünümünde zararlı yazılımlar üretilme</w:t>
      </w:r>
      <w:r w:rsidR="00F65187" w:rsidRPr="007E40A5">
        <w:rPr>
          <w:rStyle w:val="YokA"/>
          <w:rFonts w:ascii="Tahoma" w:hAnsi="Tahoma" w:cs="Tahoma"/>
          <w:b/>
          <w:bCs/>
          <w:lang w:val="tr-TR"/>
        </w:rPr>
        <w:t xml:space="preserve">ye başlandığına dikkat çekildi. </w:t>
      </w:r>
      <w:r w:rsidR="00D72EFA" w:rsidRPr="007E40A5">
        <w:rPr>
          <w:rStyle w:val="YokA"/>
          <w:rFonts w:ascii="Tahoma" w:hAnsi="Tahoma" w:cs="Tahoma"/>
          <w:b/>
          <w:bCs/>
          <w:lang w:val="tr-TR"/>
        </w:rPr>
        <w:t>Veri merkezleri arasındaki transferlerde kullanılan kriptoloji</w:t>
      </w:r>
      <w:r w:rsidR="00F8632F" w:rsidRPr="007E40A5">
        <w:rPr>
          <w:rStyle w:val="YokA"/>
          <w:rFonts w:ascii="Tahoma" w:hAnsi="Tahoma" w:cs="Tahoma"/>
          <w:b/>
          <w:bCs/>
          <w:lang w:val="tr-TR"/>
        </w:rPr>
        <w:t xml:space="preserve"> tekniklerinin</w:t>
      </w:r>
      <w:r w:rsidR="00F65187" w:rsidRPr="007E40A5">
        <w:rPr>
          <w:rStyle w:val="YokA"/>
          <w:rFonts w:ascii="Tahoma" w:hAnsi="Tahoma" w:cs="Tahoma"/>
          <w:b/>
          <w:bCs/>
          <w:lang w:val="tr-TR"/>
        </w:rPr>
        <w:t xml:space="preserve"> de </w:t>
      </w:r>
      <w:r w:rsidR="00D72EFA" w:rsidRPr="007E40A5">
        <w:rPr>
          <w:rStyle w:val="YokA"/>
          <w:rFonts w:ascii="Tahoma" w:hAnsi="Tahoma" w:cs="Tahoma"/>
          <w:b/>
          <w:bCs/>
          <w:lang w:val="tr-TR"/>
        </w:rPr>
        <w:t xml:space="preserve">ele alındığı raporda, </w:t>
      </w:r>
      <w:r w:rsidR="00F65187" w:rsidRPr="007E40A5">
        <w:rPr>
          <w:rStyle w:val="YokA"/>
          <w:rFonts w:ascii="Tahoma" w:hAnsi="Tahoma" w:cs="Tahoma"/>
          <w:b/>
          <w:bCs/>
          <w:lang w:val="tr-TR"/>
        </w:rPr>
        <w:t xml:space="preserve">bir </w:t>
      </w:r>
      <w:proofErr w:type="spellStart"/>
      <w:r w:rsidR="00F65187" w:rsidRPr="007E40A5">
        <w:rPr>
          <w:rStyle w:val="YokA"/>
          <w:rFonts w:ascii="Tahoma" w:hAnsi="Tahoma" w:cs="Tahoma"/>
          <w:b/>
          <w:bCs/>
          <w:lang w:val="tr-TR"/>
        </w:rPr>
        <w:t>Wi</w:t>
      </w:r>
      <w:proofErr w:type="spellEnd"/>
      <w:r w:rsidR="00F65187" w:rsidRPr="007E40A5">
        <w:rPr>
          <w:rStyle w:val="YokA"/>
          <w:rFonts w:ascii="Tahoma" w:hAnsi="Tahoma" w:cs="Tahoma"/>
          <w:b/>
          <w:bCs/>
          <w:lang w:val="tr-TR"/>
        </w:rPr>
        <w:t xml:space="preserve">-Fi güvenlik standardı olan WPA3 mercek altına alındı. </w:t>
      </w:r>
    </w:p>
    <w:p w:rsidR="00904E96" w:rsidRPr="007E40A5" w:rsidRDefault="002E7E80" w:rsidP="00020429">
      <w:pPr>
        <w:pStyle w:val="SaptanmA"/>
        <w:tabs>
          <w:tab w:val="left" w:pos="2025"/>
        </w:tabs>
        <w:suppressAutoHyphens/>
        <w:spacing w:line="276" w:lineRule="auto"/>
        <w:jc w:val="both"/>
        <w:rPr>
          <w:rStyle w:val="YokA"/>
          <w:rFonts w:ascii="Tahoma" w:hAnsi="Tahoma" w:cs="Tahoma"/>
          <w:bCs/>
          <w:lang w:val="tr-TR"/>
        </w:rPr>
      </w:pPr>
      <w:r w:rsidRPr="007E40A5">
        <w:rPr>
          <w:rStyle w:val="YokA"/>
          <w:rFonts w:ascii="Tahoma" w:hAnsi="Tahoma" w:cs="Tahoma"/>
          <w:bCs/>
          <w:lang w:val="tr-TR"/>
        </w:rPr>
        <w:t xml:space="preserve">Bu yılın üçüncü çeyreğini kapsayan STM </w:t>
      </w:r>
      <w:proofErr w:type="spellStart"/>
      <w:r w:rsidRPr="007E40A5">
        <w:rPr>
          <w:rStyle w:val="YokA"/>
          <w:rFonts w:ascii="Tahoma" w:hAnsi="Tahoma" w:cs="Tahoma"/>
          <w:bCs/>
          <w:lang w:val="tr-TR"/>
        </w:rPr>
        <w:t>ThinkTech’in</w:t>
      </w:r>
      <w:proofErr w:type="spellEnd"/>
      <w:r w:rsidRPr="007E40A5">
        <w:rPr>
          <w:rStyle w:val="YokA"/>
          <w:rFonts w:ascii="Tahoma" w:hAnsi="Tahoma" w:cs="Tahoma"/>
          <w:bCs/>
          <w:lang w:val="tr-TR"/>
        </w:rPr>
        <w:t xml:space="preserve"> raporunda 9</w:t>
      </w:r>
      <w:r w:rsidR="00020429" w:rsidRPr="007E40A5">
        <w:rPr>
          <w:rStyle w:val="YokA"/>
          <w:rFonts w:ascii="Tahoma" w:hAnsi="Tahoma" w:cs="Tahoma"/>
          <w:bCs/>
          <w:lang w:val="tr-TR"/>
        </w:rPr>
        <w:t xml:space="preserve"> konu başlığı bulunuyor.</w:t>
      </w:r>
      <w:r w:rsidR="00904E96" w:rsidRPr="007E40A5">
        <w:rPr>
          <w:rStyle w:val="YokA"/>
          <w:rFonts w:ascii="Tahoma" w:hAnsi="Tahoma" w:cs="Tahoma"/>
          <w:bCs/>
          <w:lang w:val="tr-TR"/>
        </w:rPr>
        <w:t xml:space="preserve"> İki zararlı yazılımın analizinin yer aldığı raporda, bilgisayar oyunlarındaki hile yöntemlerin</w:t>
      </w:r>
      <w:r w:rsidR="002C49BD" w:rsidRPr="007E40A5">
        <w:rPr>
          <w:rStyle w:val="YokA"/>
          <w:rFonts w:ascii="Tahoma" w:hAnsi="Tahoma" w:cs="Tahoma"/>
          <w:bCs/>
          <w:lang w:val="tr-TR"/>
        </w:rPr>
        <w:t>in</w:t>
      </w:r>
      <w:r w:rsidR="00904E96" w:rsidRPr="007E40A5">
        <w:rPr>
          <w:rStyle w:val="YokA"/>
          <w:rFonts w:ascii="Tahoma" w:hAnsi="Tahoma" w:cs="Tahoma"/>
          <w:bCs/>
          <w:lang w:val="tr-TR"/>
        </w:rPr>
        <w:t xml:space="preserve"> getirdiği tehlikeler incelendi. </w:t>
      </w:r>
    </w:p>
    <w:p w:rsidR="00904E96" w:rsidRPr="007E40A5" w:rsidRDefault="00904E96" w:rsidP="00904E96">
      <w:pPr>
        <w:pStyle w:val="SaptanmA"/>
        <w:tabs>
          <w:tab w:val="left" w:pos="2025"/>
        </w:tabs>
        <w:suppressAutoHyphens/>
        <w:spacing w:line="276" w:lineRule="auto"/>
        <w:jc w:val="both"/>
        <w:rPr>
          <w:rStyle w:val="YokA"/>
          <w:rFonts w:ascii="Tahoma" w:hAnsi="Tahoma" w:cs="Tahoma"/>
          <w:b/>
          <w:bCs/>
          <w:lang w:val="tr-TR"/>
        </w:rPr>
      </w:pPr>
      <w:r w:rsidRPr="007E40A5">
        <w:rPr>
          <w:rStyle w:val="YokA"/>
          <w:rFonts w:ascii="Tahoma" w:hAnsi="Tahoma" w:cs="Tahoma"/>
          <w:b/>
          <w:bCs/>
          <w:lang w:val="tr-TR"/>
        </w:rPr>
        <w:t>Hile görünümlü zararlı yazılım, kredi kartı bilgilerine kadar erişebiliyor</w:t>
      </w:r>
    </w:p>
    <w:p w:rsidR="00C1718E" w:rsidRPr="007E40A5" w:rsidRDefault="00F65187" w:rsidP="00904E96">
      <w:pPr>
        <w:pStyle w:val="SaptanmA"/>
        <w:tabs>
          <w:tab w:val="left" w:pos="2025"/>
        </w:tabs>
        <w:suppressAutoHyphens/>
        <w:spacing w:line="276" w:lineRule="auto"/>
        <w:jc w:val="both"/>
        <w:rPr>
          <w:rStyle w:val="YokA"/>
          <w:rFonts w:ascii="Tahoma" w:hAnsi="Tahoma" w:cs="Tahoma"/>
          <w:bCs/>
          <w:lang w:val="tr-TR"/>
        </w:rPr>
      </w:pPr>
      <w:r w:rsidRPr="007E40A5">
        <w:rPr>
          <w:rStyle w:val="YokA"/>
          <w:rFonts w:ascii="Tahoma" w:hAnsi="Tahoma" w:cs="Tahoma"/>
          <w:bCs/>
          <w:lang w:val="tr-TR"/>
        </w:rPr>
        <w:t xml:space="preserve">Bilgisayar oyunlarının popülerleşmesiyle bu oyunlarda başvurulan oyun hileleri de oldukça yaygın hâle </w:t>
      </w:r>
      <w:r w:rsidR="00020429" w:rsidRPr="007E40A5">
        <w:rPr>
          <w:rStyle w:val="YokA"/>
          <w:rFonts w:ascii="Tahoma" w:hAnsi="Tahoma" w:cs="Tahoma"/>
          <w:bCs/>
          <w:lang w:val="tr-TR"/>
        </w:rPr>
        <w:t>geldi</w:t>
      </w:r>
      <w:r w:rsidRPr="007E40A5">
        <w:rPr>
          <w:rStyle w:val="YokA"/>
          <w:rFonts w:ascii="Tahoma" w:hAnsi="Tahoma" w:cs="Tahoma"/>
          <w:bCs/>
          <w:lang w:val="tr-TR"/>
        </w:rPr>
        <w:t>. Raporda, kazanma hırsıyla bu tür hilelere kapılabilen kurbanlardan faydalanmak isteyen zararlı yazılım üreticileri</w:t>
      </w:r>
      <w:r w:rsidR="00020429" w:rsidRPr="007E40A5">
        <w:rPr>
          <w:rStyle w:val="YokA"/>
          <w:rFonts w:ascii="Tahoma" w:hAnsi="Tahoma" w:cs="Tahoma"/>
          <w:bCs/>
          <w:lang w:val="tr-TR"/>
        </w:rPr>
        <w:t xml:space="preserve">nin, </w:t>
      </w:r>
      <w:r w:rsidRPr="007E40A5">
        <w:rPr>
          <w:rStyle w:val="YokA"/>
          <w:rFonts w:ascii="Tahoma" w:hAnsi="Tahoma" w:cs="Tahoma"/>
          <w:bCs/>
          <w:lang w:val="tr-TR"/>
        </w:rPr>
        <w:t>oyun hilesi görünümünde zararlı yazılımlar üretmeye yöneldiği</w:t>
      </w:r>
      <w:r w:rsidR="00020429" w:rsidRPr="007E40A5">
        <w:rPr>
          <w:rStyle w:val="YokA"/>
          <w:rFonts w:ascii="Tahoma" w:hAnsi="Tahoma" w:cs="Tahoma"/>
          <w:bCs/>
          <w:lang w:val="tr-TR"/>
        </w:rPr>
        <w:t>ne dikkat çekildi</w:t>
      </w:r>
      <w:r w:rsidRPr="007E40A5">
        <w:rPr>
          <w:rStyle w:val="YokA"/>
          <w:rFonts w:ascii="Tahoma" w:hAnsi="Tahoma" w:cs="Tahoma"/>
          <w:bCs/>
          <w:lang w:val="tr-TR"/>
        </w:rPr>
        <w:t xml:space="preserve">. Henüz yeni sayılabilecek bir bilgisayar oyunu olan </w:t>
      </w:r>
      <w:proofErr w:type="spellStart"/>
      <w:r w:rsidRPr="007E40A5">
        <w:rPr>
          <w:rStyle w:val="YokA"/>
          <w:rFonts w:ascii="Tahoma" w:hAnsi="Tahoma" w:cs="Tahoma"/>
          <w:bCs/>
          <w:lang w:val="tr-TR"/>
        </w:rPr>
        <w:t>VALORANT’da</w:t>
      </w:r>
      <w:proofErr w:type="spellEnd"/>
      <w:r w:rsidRPr="007E40A5">
        <w:rPr>
          <w:rStyle w:val="YokA"/>
          <w:rFonts w:ascii="Tahoma" w:hAnsi="Tahoma" w:cs="Tahoma"/>
          <w:bCs/>
          <w:lang w:val="tr-TR"/>
        </w:rPr>
        <w:t xml:space="preserve"> da bu tarz yazılımlara sıkça rastlanıldığı belirlenirken, STM </w:t>
      </w:r>
      <w:proofErr w:type="spellStart"/>
      <w:r w:rsidRPr="007E40A5">
        <w:rPr>
          <w:rStyle w:val="YokA"/>
          <w:rFonts w:ascii="Tahoma" w:hAnsi="Tahoma" w:cs="Tahoma"/>
          <w:bCs/>
          <w:lang w:val="tr-TR"/>
        </w:rPr>
        <w:t>Sandbox</w:t>
      </w:r>
      <w:proofErr w:type="spellEnd"/>
      <w:r w:rsidRPr="007E40A5">
        <w:rPr>
          <w:rStyle w:val="YokA"/>
          <w:rFonts w:ascii="Tahoma" w:hAnsi="Tahoma" w:cs="Tahoma"/>
          <w:bCs/>
          <w:lang w:val="tr-TR"/>
        </w:rPr>
        <w:t xml:space="preserve"> kum havuzunda yapılan statik analiz sonucunda; zararlının 32/64 bit Windows işletim sisteminde çalıştırılabilir olduğu, </w:t>
      </w:r>
      <w:proofErr w:type="spellStart"/>
      <w:r w:rsidRPr="007E40A5">
        <w:rPr>
          <w:rStyle w:val="YokA"/>
          <w:rFonts w:ascii="Tahoma" w:hAnsi="Tahoma" w:cs="Tahoma"/>
          <w:bCs/>
          <w:lang w:val="tr-TR"/>
        </w:rPr>
        <w:t>virustotal</w:t>
      </w:r>
      <w:proofErr w:type="spellEnd"/>
      <w:r w:rsidRPr="007E40A5">
        <w:rPr>
          <w:rStyle w:val="YokA"/>
          <w:rFonts w:ascii="Tahoma" w:hAnsi="Tahoma" w:cs="Tahoma"/>
          <w:bCs/>
          <w:lang w:val="tr-TR"/>
        </w:rPr>
        <w:t xml:space="preserve"> etiketlerinin zararlının bir </w:t>
      </w:r>
      <w:proofErr w:type="spellStart"/>
      <w:r w:rsidRPr="007E40A5">
        <w:rPr>
          <w:rStyle w:val="YokA"/>
          <w:rFonts w:ascii="Tahoma" w:hAnsi="Tahoma" w:cs="Tahoma"/>
          <w:bCs/>
          <w:lang w:val="tr-TR"/>
        </w:rPr>
        <w:t>truva</w:t>
      </w:r>
      <w:proofErr w:type="spellEnd"/>
      <w:r w:rsidRPr="007E40A5">
        <w:rPr>
          <w:rStyle w:val="YokA"/>
          <w:rFonts w:ascii="Tahoma" w:hAnsi="Tahoma" w:cs="Tahoma"/>
          <w:bCs/>
          <w:lang w:val="tr-TR"/>
        </w:rPr>
        <w:t xml:space="preserve"> atı türevi olduğu ve komut kontrol sunucuyla iletişim kurmaya </w:t>
      </w:r>
      <w:r w:rsidR="00C1718E" w:rsidRPr="007E40A5">
        <w:rPr>
          <w:rStyle w:val="YokA"/>
          <w:rFonts w:ascii="Tahoma" w:hAnsi="Tahoma" w:cs="Tahoma"/>
          <w:bCs/>
          <w:lang w:val="tr-TR"/>
        </w:rPr>
        <w:t>çalıştığı tespit edildi.</w:t>
      </w:r>
    </w:p>
    <w:p w:rsidR="003E5487" w:rsidRPr="007E40A5" w:rsidRDefault="00F65187" w:rsidP="00904E96">
      <w:pPr>
        <w:pStyle w:val="SaptanmA"/>
        <w:tabs>
          <w:tab w:val="left" w:pos="2025"/>
        </w:tabs>
        <w:suppressAutoHyphens/>
        <w:spacing w:line="276" w:lineRule="auto"/>
        <w:jc w:val="both"/>
        <w:rPr>
          <w:rStyle w:val="YokA"/>
          <w:rFonts w:ascii="Tahoma" w:hAnsi="Tahoma" w:cs="Tahoma"/>
          <w:bCs/>
          <w:lang w:val="tr-TR"/>
        </w:rPr>
      </w:pPr>
      <w:r w:rsidRPr="007E40A5">
        <w:rPr>
          <w:rStyle w:val="YokA"/>
          <w:rFonts w:ascii="Tahoma" w:hAnsi="Tahoma" w:cs="Tahoma"/>
          <w:bCs/>
          <w:lang w:val="tr-TR"/>
        </w:rPr>
        <w:t>Kurban bilgisayardaki birçok veriyi toplayan bu yazılım, topladığı verileri kategorilere ayırdıktan sonr</w:t>
      </w:r>
      <w:r w:rsidR="004C22E5">
        <w:rPr>
          <w:rStyle w:val="YokA"/>
          <w:rFonts w:ascii="Tahoma" w:hAnsi="Tahoma" w:cs="Tahoma"/>
          <w:bCs/>
          <w:lang w:val="tr-TR"/>
        </w:rPr>
        <w:t xml:space="preserve">a bir </w:t>
      </w:r>
      <w:proofErr w:type="spellStart"/>
      <w:r w:rsidR="004C22E5">
        <w:rPr>
          <w:rStyle w:val="YokA"/>
          <w:rFonts w:ascii="Tahoma" w:hAnsi="Tahoma" w:cs="Tahoma"/>
          <w:bCs/>
          <w:lang w:val="tr-TR"/>
        </w:rPr>
        <w:t>zip</w:t>
      </w:r>
      <w:proofErr w:type="spellEnd"/>
      <w:r w:rsidR="004C22E5">
        <w:rPr>
          <w:rStyle w:val="YokA"/>
          <w:rFonts w:ascii="Tahoma" w:hAnsi="Tahoma" w:cs="Tahoma"/>
          <w:bCs/>
          <w:lang w:val="tr-TR"/>
        </w:rPr>
        <w:t xml:space="preserve"> dosyası oluşturarak, </w:t>
      </w:r>
      <w:proofErr w:type="spellStart"/>
      <w:r w:rsidR="004C22E5">
        <w:rPr>
          <w:rStyle w:val="YokA"/>
          <w:rFonts w:ascii="Tahoma" w:hAnsi="Tahoma" w:cs="Tahoma"/>
          <w:bCs/>
          <w:lang w:val="tr-TR"/>
        </w:rPr>
        <w:t>T</w:t>
      </w:r>
      <w:r w:rsidRPr="007E40A5">
        <w:rPr>
          <w:rStyle w:val="YokA"/>
          <w:rFonts w:ascii="Tahoma" w:hAnsi="Tahoma" w:cs="Tahoma"/>
          <w:bCs/>
          <w:lang w:val="tr-TR"/>
        </w:rPr>
        <w:t>elegram</w:t>
      </w:r>
      <w:proofErr w:type="spellEnd"/>
      <w:r w:rsidRPr="007E40A5">
        <w:rPr>
          <w:rStyle w:val="YokA"/>
          <w:rFonts w:ascii="Tahoma" w:hAnsi="Tahoma" w:cs="Tahoma"/>
          <w:bCs/>
          <w:lang w:val="tr-TR"/>
        </w:rPr>
        <w:t xml:space="preserve"> sohbet uygulamasında oluşturduğu bir bot aracılığıyla</w:t>
      </w:r>
      <w:r w:rsidR="00020429" w:rsidRPr="007E40A5">
        <w:rPr>
          <w:rStyle w:val="YokA"/>
          <w:rFonts w:ascii="Tahoma" w:hAnsi="Tahoma" w:cs="Tahoma"/>
          <w:bCs/>
          <w:lang w:val="tr-TR"/>
        </w:rPr>
        <w:t>,</w:t>
      </w:r>
      <w:r w:rsidRPr="007E40A5">
        <w:rPr>
          <w:rStyle w:val="YokA"/>
          <w:rFonts w:ascii="Tahoma" w:hAnsi="Tahoma" w:cs="Tahoma"/>
          <w:bCs/>
          <w:lang w:val="tr-TR"/>
        </w:rPr>
        <w:t xml:space="preserve"> zararlı yazılımın sahibine özel mesaj olarak </w:t>
      </w:r>
      <w:r w:rsidR="00020429" w:rsidRPr="007E40A5">
        <w:rPr>
          <w:rStyle w:val="YokA"/>
          <w:rFonts w:ascii="Tahoma" w:hAnsi="Tahoma" w:cs="Tahoma"/>
          <w:bCs/>
          <w:lang w:val="tr-TR"/>
        </w:rPr>
        <w:t>gönderiyor</w:t>
      </w:r>
      <w:r w:rsidRPr="007E40A5">
        <w:rPr>
          <w:rStyle w:val="YokA"/>
          <w:rFonts w:ascii="Tahoma" w:hAnsi="Tahoma" w:cs="Tahoma"/>
          <w:bCs/>
          <w:lang w:val="tr-TR"/>
        </w:rPr>
        <w:t>.</w:t>
      </w:r>
      <w:r w:rsidR="00020429" w:rsidRPr="007E40A5">
        <w:rPr>
          <w:rStyle w:val="YokA"/>
          <w:rFonts w:ascii="Tahoma" w:hAnsi="Tahoma" w:cs="Tahoma"/>
          <w:bCs/>
          <w:lang w:val="tr-TR"/>
        </w:rPr>
        <w:t xml:space="preserve"> Bu yolla, kurban bilgisayarın sistem bilgileri, yüklü sohbet ve e-posta bilgileri,</w:t>
      </w:r>
      <w:r w:rsidR="00020429" w:rsidRPr="007E40A5">
        <w:t xml:space="preserve"> </w:t>
      </w:r>
      <w:r w:rsidR="00020429" w:rsidRPr="007E40A5">
        <w:rPr>
          <w:rStyle w:val="YokA"/>
          <w:rFonts w:ascii="Tahoma" w:hAnsi="Tahoma" w:cs="Tahoma"/>
          <w:bCs/>
          <w:lang w:val="tr-TR"/>
        </w:rPr>
        <w:t xml:space="preserve">yüklü web tarayıcılardaki bilgiler (kayıtlı </w:t>
      </w:r>
      <w:r w:rsidR="00F8632F" w:rsidRPr="007E40A5">
        <w:rPr>
          <w:rStyle w:val="YokA"/>
          <w:rFonts w:ascii="Tahoma" w:hAnsi="Tahoma" w:cs="Tahoma"/>
          <w:bCs/>
          <w:lang w:val="tr-TR"/>
        </w:rPr>
        <w:t>parolalar</w:t>
      </w:r>
      <w:r w:rsidR="00020429" w:rsidRPr="007E40A5">
        <w:rPr>
          <w:rStyle w:val="YokA"/>
          <w:rFonts w:ascii="Tahoma" w:hAnsi="Tahoma" w:cs="Tahoma"/>
          <w:bCs/>
          <w:lang w:val="tr-TR"/>
        </w:rPr>
        <w:t xml:space="preserve">, kredi kartları, indirme geçmişi vb.), çeşitli </w:t>
      </w:r>
      <w:proofErr w:type="spellStart"/>
      <w:r w:rsidR="00020429" w:rsidRPr="007E40A5">
        <w:rPr>
          <w:rStyle w:val="YokA"/>
          <w:rFonts w:ascii="Tahoma" w:hAnsi="Tahoma" w:cs="Tahoma"/>
          <w:bCs/>
          <w:lang w:val="tr-TR"/>
        </w:rPr>
        <w:t>coin</w:t>
      </w:r>
      <w:proofErr w:type="spellEnd"/>
      <w:r w:rsidR="00020429" w:rsidRPr="007E40A5">
        <w:rPr>
          <w:rStyle w:val="YokA"/>
          <w:rFonts w:ascii="Tahoma" w:hAnsi="Tahoma" w:cs="Tahoma"/>
          <w:bCs/>
          <w:lang w:val="tr-TR"/>
        </w:rPr>
        <w:t xml:space="preserve"> cüzdan bilgilerinin ele geçirildiği tespit edildi. Zararlı yazılım</w:t>
      </w:r>
      <w:r w:rsidR="003E5487" w:rsidRPr="007E40A5">
        <w:rPr>
          <w:rStyle w:val="YokA"/>
          <w:rFonts w:ascii="Tahoma" w:hAnsi="Tahoma" w:cs="Tahoma"/>
          <w:bCs/>
          <w:lang w:val="tr-TR"/>
        </w:rPr>
        <w:t>ın</w:t>
      </w:r>
      <w:r w:rsidR="00020429" w:rsidRPr="007E40A5">
        <w:rPr>
          <w:rStyle w:val="YokA"/>
          <w:rFonts w:ascii="Tahoma" w:hAnsi="Tahoma" w:cs="Tahoma"/>
          <w:bCs/>
          <w:lang w:val="tr-TR"/>
        </w:rPr>
        <w:t>, kurban bilgisayar bilgilerini toplama işlevinin yanı sıra her 10 saniyede bir</w:t>
      </w:r>
      <w:r w:rsidR="003E5487" w:rsidRPr="007E40A5">
        <w:rPr>
          <w:rStyle w:val="YokA"/>
          <w:rFonts w:ascii="Tahoma" w:hAnsi="Tahoma" w:cs="Tahoma"/>
          <w:bCs/>
          <w:lang w:val="tr-TR"/>
        </w:rPr>
        <w:t>,</w:t>
      </w:r>
      <w:r w:rsidR="00020429" w:rsidRPr="007E40A5">
        <w:rPr>
          <w:rStyle w:val="YokA"/>
          <w:rFonts w:ascii="Tahoma" w:hAnsi="Tahoma" w:cs="Tahoma"/>
          <w:bCs/>
          <w:lang w:val="tr-TR"/>
        </w:rPr>
        <w:t xml:space="preserve"> </w:t>
      </w:r>
      <w:proofErr w:type="spellStart"/>
      <w:r w:rsidR="004C22E5">
        <w:rPr>
          <w:rStyle w:val="YokA"/>
          <w:rFonts w:ascii="Tahoma" w:hAnsi="Tahoma" w:cs="Tahoma"/>
          <w:bCs/>
          <w:lang w:val="tr-TR"/>
        </w:rPr>
        <w:t>T</w:t>
      </w:r>
      <w:r w:rsidR="00020429" w:rsidRPr="007E40A5">
        <w:rPr>
          <w:rStyle w:val="YokA"/>
          <w:rFonts w:ascii="Tahoma" w:hAnsi="Tahoma" w:cs="Tahoma"/>
          <w:bCs/>
          <w:lang w:val="tr-TR"/>
        </w:rPr>
        <w:t>elegram</w:t>
      </w:r>
      <w:proofErr w:type="spellEnd"/>
      <w:r w:rsidR="00020429" w:rsidRPr="007E40A5">
        <w:rPr>
          <w:rStyle w:val="YokA"/>
          <w:rFonts w:ascii="Tahoma" w:hAnsi="Tahoma" w:cs="Tahoma"/>
          <w:bCs/>
          <w:lang w:val="tr-TR"/>
        </w:rPr>
        <w:t xml:space="preserve"> üzerinden gelen mesajları okuyarak aldığı komutları </w:t>
      </w:r>
      <w:r w:rsidR="003E5487" w:rsidRPr="007E40A5">
        <w:rPr>
          <w:rStyle w:val="YokA"/>
          <w:rFonts w:ascii="Tahoma" w:hAnsi="Tahoma" w:cs="Tahoma"/>
          <w:bCs/>
          <w:lang w:val="tr-TR"/>
        </w:rPr>
        <w:t>uyguladığı görüldü.</w:t>
      </w:r>
      <w:r w:rsidR="00904E96" w:rsidRPr="007E40A5">
        <w:rPr>
          <w:rStyle w:val="YokA"/>
          <w:rFonts w:ascii="Tahoma" w:hAnsi="Tahoma" w:cs="Tahoma"/>
          <w:bCs/>
          <w:lang w:val="tr-TR"/>
        </w:rPr>
        <w:t xml:space="preserve"> Raporda, zararlı yazılımın görev yöneticisinde işlemler arasında rastlanılması durumunda, işleminin durdurulması ve dosya konumlarına gidilerek silinmesi gerektiği vurgulandı. </w:t>
      </w:r>
    </w:p>
    <w:p w:rsidR="0064338D" w:rsidRPr="007E40A5" w:rsidRDefault="0064338D" w:rsidP="0064338D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b/>
        </w:rPr>
      </w:pPr>
      <w:r w:rsidRPr="007E40A5">
        <w:rPr>
          <w:rFonts w:ascii="Tahoma" w:eastAsia="Arial Unicode MS" w:hAnsi="Tahoma" w:cs="Tahoma"/>
          <w:b/>
        </w:rPr>
        <w:t xml:space="preserve">Veri </w:t>
      </w:r>
      <w:r w:rsidR="00FF43A6" w:rsidRPr="007E40A5">
        <w:rPr>
          <w:rFonts w:ascii="Tahoma" w:eastAsia="Arial Unicode MS" w:hAnsi="Tahoma" w:cs="Tahoma"/>
          <w:b/>
        </w:rPr>
        <w:t>m</w:t>
      </w:r>
      <w:r w:rsidRPr="007E40A5">
        <w:rPr>
          <w:rFonts w:ascii="Tahoma" w:eastAsia="Arial Unicode MS" w:hAnsi="Tahoma" w:cs="Tahoma"/>
          <w:b/>
        </w:rPr>
        <w:t xml:space="preserve">erkezleri </w:t>
      </w:r>
      <w:r w:rsidR="00FF43A6" w:rsidRPr="007E40A5">
        <w:rPr>
          <w:rFonts w:ascii="Tahoma" w:eastAsia="Arial Unicode MS" w:hAnsi="Tahoma" w:cs="Tahoma"/>
          <w:b/>
        </w:rPr>
        <w:t>a</w:t>
      </w:r>
      <w:r w:rsidRPr="007E40A5">
        <w:rPr>
          <w:rFonts w:ascii="Tahoma" w:eastAsia="Arial Unicode MS" w:hAnsi="Tahoma" w:cs="Tahoma"/>
          <w:b/>
        </w:rPr>
        <w:t xml:space="preserve">rası </w:t>
      </w:r>
      <w:r w:rsidR="00FF43A6" w:rsidRPr="007E40A5">
        <w:rPr>
          <w:rFonts w:ascii="Tahoma" w:eastAsia="Arial Unicode MS" w:hAnsi="Tahoma" w:cs="Tahoma"/>
          <w:b/>
        </w:rPr>
        <w:t>v</w:t>
      </w:r>
      <w:r w:rsidRPr="007E40A5">
        <w:rPr>
          <w:rFonts w:ascii="Tahoma" w:eastAsia="Arial Unicode MS" w:hAnsi="Tahoma" w:cs="Tahoma"/>
          <w:b/>
        </w:rPr>
        <w:t xml:space="preserve">eri </w:t>
      </w:r>
      <w:r w:rsidR="00FF43A6" w:rsidRPr="007E40A5">
        <w:rPr>
          <w:rFonts w:ascii="Tahoma" w:eastAsia="Arial Unicode MS" w:hAnsi="Tahoma" w:cs="Tahoma"/>
          <w:b/>
        </w:rPr>
        <w:t>k</w:t>
      </w:r>
      <w:r w:rsidRPr="007E40A5">
        <w:rPr>
          <w:rFonts w:ascii="Tahoma" w:eastAsia="Arial Unicode MS" w:hAnsi="Tahoma" w:cs="Tahoma"/>
          <w:b/>
        </w:rPr>
        <w:t>riptolojisi</w:t>
      </w:r>
    </w:p>
    <w:p w:rsidR="00C1718E" w:rsidRDefault="00C1718E" w:rsidP="0064338D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b/>
          <w:sz w:val="20"/>
        </w:rPr>
      </w:pPr>
    </w:p>
    <w:p w:rsidR="0064338D" w:rsidRPr="007E40A5" w:rsidRDefault="0064338D" w:rsidP="00C1718E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</w:rPr>
      </w:pPr>
      <w:r w:rsidRPr="007E40A5">
        <w:rPr>
          <w:rFonts w:ascii="Tahoma" w:eastAsia="Arial Unicode MS" w:hAnsi="Tahoma" w:cs="Tahoma"/>
        </w:rPr>
        <w:t xml:space="preserve">Raporda, veri merkezleri arasındaki veri eşitleme işlemlerinin daha güvenli yapılabilmesi için kullanılan maskeleme teknolojileri de </w:t>
      </w:r>
      <w:r w:rsidR="00C1718E" w:rsidRPr="007E40A5">
        <w:rPr>
          <w:rFonts w:ascii="Tahoma" w:eastAsia="Arial Unicode MS" w:hAnsi="Tahoma" w:cs="Tahoma"/>
        </w:rPr>
        <w:t>ele alındı</w:t>
      </w:r>
      <w:r w:rsidRPr="007E40A5">
        <w:rPr>
          <w:rFonts w:ascii="Tahoma" w:eastAsia="Arial Unicode MS" w:hAnsi="Tahoma" w:cs="Tahoma"/>
        </w:rPr>
        <w:t xml:space="preserve">. Uzak şubeler veya veri merkezleri için akla ilk gelen veri maskeleme teknolojisinin IPSEC VPN (L3-IP </w:t>
      </w:r>
      <w:proofErr w:type="spellStart"/>
      <w:r w:rsidRPr="007E40A5">
        <w:rPr>
          <w:rFonts w:ascii="Tahoma" w:eastAsia="Arial Unicode MS" w:hAnsi="Tahoma" w:cs="Tahoma"/>
        </w:rPr>
        <w:t>Crypto</w:t>
      </w:r>
      <w:proofErr w:type="spellEnd"/>
      <w:r w:rsidRPr="007E40A5">
        <w:rPr>
          <w:rFonts w:ascii="Tahoma" w:eastAsia="Arial Unicode MS" w:hAnsi="Tahoma" w:cs="Tahoma"/>
        </w:rPr>
        <w:t xml:space="preserve">) olduğu belirtilen raporda, veri </w:t>
      </w:r>
      <w:r w:rsidRPr="007E40A5">
        <w:rPr>
          <w:rFonts w:ascii="Tahoma" w:eastAsia="Arial Unicode MS" w:hAnsi="Tahoma" w:cs="Tahoma"/>
        </w:rPr>
        <w:lastRenderedPageBreak/>
        <w:t xml:space="preserve">merkezleri arasında kurulan iletişim altyapısının 40Gbps hızının üzerinde </w:t>
      </w:r>
      <w:r w:rsidR="00D71B64" w:rsidRPr="007E40A5">
        <w:rPr>
          <w:rFonts w:ascii="Tahoma" w:eastAsia="Arial Unicode MS" w:hAnsi="Tahoma" w:cs="Tahoma"/>
        </w:rPr>
        <w:t>olması durumunda, alternatif teknolojiler</w:t>
      </w:r>
      <w:r w:rsidR="00C1718E" w:rsidRPr="007E40A5">
        <w:rPr>
          <w:rFonts w:ascii="Tahoma" w:eastAsia="Arial Unicode MS" w:hAnsi="Tahoma" w:cs="Tahoma"/>
        </w:rPr>
        <w:t xml:space="preserve"> (L1-Link </w:t>
      </w:r>
      <w:proofErr w:type="spellStart"/>
      <w:r w:rsidR="00C1718E" w:rsidRPr="007E40A5">
        <w:rPr>
          <w:rFonts w:ascii="Tahoma" w:eastAsia="Arial Unicode MS" w:hAnsi="Tahoma" w:cs="Tahoma"/>
        </w:rPr>
        <w:t>Crypto</w:t>
      </w:r>
      <w:proofErr w:type="spellEnd"/>
      <w:r w:rsidR="00C1718E" w:rsidRPr="007E40A5">
        <w:rPr>
          <w:rFonts w:ascii="Tahoma" w:eastAsia="Arial Unicode MS" w:hAnsi="Tahoma" w:cs="Tahoma"/>
        </w:rPr>
        <w:t xml:space="preserve">, </w:t>
      </w:r>
      <w:proofErr w:type="spellStart"/>
      <w:proofErr w:type="gramStart"/>
      <w:r w:rsidR="00C1718E" w:rsidRPr="007E40A5">
        <w:rPr>
          <w:rFonts w:ascii="Tahoma" w:eastAsia="Arial Unicode MS" w:hAnsi="Tahoma" w:cs="Tahoma"/>
        </w:rPr>
        <w:t>MACsec</w:t>
      </w:r>
      <w:proofErr w:type="spellEnd"/>
      <w:r w:rsidR="00C1718E" w:rsidRPr="007E40A5">
        <w:rPr>
          <w:rFonts w:ascii="Tahoma" w:eastAsia="Arial Unicode MS" w:hAnsi="Tahoma" w:cs="Tahoma"/>
        </w:rPr>
        <w:t>,</w:t>
      </w:r>
      <w:proofErr w:type="gramEnd"/>
      <w:r w:rsidR="00C1718E" w:rsidRPr="007E40A5">
        <w:rPr>
          <w:rFonts w:ascii="Tahoma" w:eastAsia="Arial Unicode MS" w:hAnsi="Tahoma" w:cs="Tahoma"/>
        </w:rPr>
        <w:t xml:space="preserve"> veya donanımsal </w:t>
      </w:r>
      <w:proofErr w:type="spellStart"/>
      <w:r w:rsidR="00C1718E" w:rsidRPr="007E40A5">
        <w:rPr>
          <w:rFonts w:ascii="Tahoma" w:eastAsia="Arial Unicode MS" w:hAnsi="Tahoma" w:cs="Tahoma"/>
        </w:rPr>
        <w:t>Crypto</w:t>
      </w:r>
      <w:proofErr w:type="spellEnd"/>
      <w:r w:rsidR="00C1718E" w:rsidRPr="007E40A5">
        <w:rPr>
          <w:rFonts w:ascii="Tahoma" w:eastAsia="Arial Unicode MS" w:hAnsi="Tahoma" w:cs="Tahoma"/>
        </w:rPr>
        <w:t xml:space="preserve"> L2-Link, L3-IP </w:t>
      </w:r>
      <w:proofErr w:type="spellStart"/>
      <w:r w:rsidR="00C1718E" w:rsidRPr="007E40A5">
        <w:rPr>
          <w:rFonts w:ascii="Tahoma" w:eastAsia="Arial Unicode MS" w:hAnsi="Tahoma" w:cs="Tahoma"/>
        </w:rPr>
        <w:t>Crypto</w:t>
      </w:r>
      <w:proofErr w:type="spellEnd"/>
      <w:r w:rsidR="00C1718E" w:rsidRPr="007E40A5">
        <w:rPr>
          <w:rFonts w:ascii="Tahoma" w:eastAsia="Arial Unicode MS" w:hAnsi="Tahoma" w:cs="Tahoma"/>
        </w:rPr>
        <w:t xml:space="preserve">) </w:t>
      </w:r>
      <w:r w:rsidR="00D71B64" w:rsidRPr="007E40A5">
        <w:rPr>
          <w:rFonts w:ascii="Tahoma" w:eastAsia="Arial Unicode MS" w:hAnsi="Tahoma" w:cs="Tahoma"/>
        </w:rPr>
        <w:t xml:space="preserve">detaylıca incelendi. </w:t>
      </w:r>
    </w:p>
    <w:p w:rsidR="00C1718E" w:rsidRPr="007E40A5" w:rsidRDefault="00C1718E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</w:rPr>
      </w:pPr>
    </w:p>
    <w:p w:rsidR="00D71B64" w:rsidRPr="007E40A5" w:rsidRDefault="00FF43A6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b/>
        </w:rPr>
      </w:pPr>
      <w:r w:rsidRPr="007E40A5">
        <w:rPr>
          <w:rFonts w:ascii="Tahoma" w:eastAsia="Arial Unicode MS" w:hAnsi="Tahoma" w:cs="Tahoma"/>
          <w:b/>
        </w:rPr>
        <w:t>WPA3 ile g</w:t>
      </w:r>
      <w:r w:rsidR="00C1718E" w:rsidRPr="007E40A5">
        <w:rPr>
          <w:rFonts w:ascii="Tahoma" w:eastAsia="Arial Unicode MS" w:hAnsi="Tahoma" w:cs="Tahoma"/>
          <w:b/>
        </w:rPr>
        <w:t xml:space="preserve">elen </w:t>
      </w:r>
      <w:r w:rsidRPr="007E40A5">
        <w:rPr>
          <w:rFonts w:ascii="Tahoma" w:eastAsia="Arial Unicode MS" w:hAnsi="Tahoma" w:cs="Tahoma"/>
          <w:b/>
        </w:rPr>
        <w:t>y</w:t>
      </w:r>
      <w:r w:rsidR="00C1718E" w:rsidRPr="007E40A5">
        <w:rPr>
          <w:rFonts w:ascii="Tahoma" w:eastAsia="Arial Unicode MS" w:hAnsi="Tahoma" w:cs="Tahoma"/>
          <w:b/>
        </w:rPr>
        <w:t xml:space="preserve">eni </w:t>
      </w:r>
      <w:r w:rsidRPr="007E40A5">
        <w:rPr>
          <w:rFonts w:ascii="Tahoma" w:eastAsia="Arial Unicode MS" w:hAnsi="Tahoma" w:cs="Tahoma"/>
          <w:b/>
        </w:rPr>
        <w:t>g</w:t>
      </w:r>
      <w:r w:rsidR="00C1718E" w:rsidRPr="007E40A5">
        <w:rPr>
          <w:rFonts w:ascii="Tahoma" w:eastAsia="Arial Unicode MS" w:hAnsi="Tahoma" w:cs="Tahoma"/>
          <w:b/>
        </w:rPr>
        <w:t xml:space="preserve">üvenlik </w:t>
      </w:r>
      <w:r w:rsidRPr="007E40A5">
        <w:rPr>
          <w:rFonts w:ascii="Tahoma" w:eastAsia="Arial Unicode MS" w:hAnsi="Tahoma" w:cs="Tahoma"/>
          <w:b/>
        </w:rPr>
        <w:t>y</w:t>
      </w:r>
      <w:r w:rsidR="00C1718E" w:rsidRPr="007E40A5">
        <w:rPr>
          <w:rFonts w:ascii="Tahoma" w:eastAsia="Arial Unicode MS" w:hAnsi="Tahoma" w:cs="Tahoma"/>
          <w:b/>
        </w:rPr>
        <w:t>etenekleri</w:t>
      </w:r>
    </w:p>
    <w:p w:rsidR="00C1718E" w:rsidRDefault="00C1718E" w:rsidP="00D71B64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sz w:val="20"/>
        </w:rPr>
      </w:pPr>
    </w:p>
    <w:p w:rsidR="002E7E80" w:rsidRPr="007E40A5" w:rsidRDefault="00D71B64" w:rsidP="00D71B64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</w:rPr>
      </w:pPr>
      <w:r w:rsidRPr="007E40A5">
        <w:rPr>
          <w:rFonts w:ascii="Tahoma" w:eastAsia="Arial Unicode MS" w:hAnsi="Tahoma" w:cs="Tahoma"/>
        </w:rPr>
        <w:t xml:space="preserve">Bir </w:t>
      </w:r>
      <w:proofErr w:type="spellStart"/>
      <w:r w:rsidRPr="007E40A5">
        <w:rPr>
          <w:rFonts w:ascii="Tahoma" w:eastAsia="Arial Unicode MS" w:hAnsi="Tahoma" w:cs="Tahoma"/>
        </w:rPr>
        <w:t>W</w:t>
      </w:r>
      <w:r w:rsidR="00F8632F" w:rsidRPr="007E40A5">
        <w:rPr>
          <w:rFonts w:ascii="Tahoma" w:eastAsia="Arial Unicode MS" w:hAnsi="Tahoma" w:cs="Tahoma"/>
        </w:rPr>
        <w:t>i</w:t>
      </w:r>
      <w:proofErr w:type="spellEnd"/>
      <w:r w:rsidRPr="007E40A5">
        <w:rPr>
          <w:rFonts w:ascii="Tahoma" w:eastAsia="Arial Unicode MS" w:hAnsi="Tahoma" w:cs="Tahoma"/>
        </w:rPr>
        <w:t>-F</w:t>
      </w:r>
      <w:r w:rsidR="00F8632F" w:rsidRPr="007E40A5">
        <w:rPr>
          <w:rFonts w:ascii="Tahoma" w:eastAsia="Arial Unicode MS" w:hAnsi="Tahoma" w:cs="Tahoma"/>
        </w:rPr>
        <w:t>i</w:t>
      </w:r>
      <w:r w:rsidRPr="007E40A5">
        <w:rPr>
          <w:rFonts w:ascii="Tahoma" w:eastAsia="Arial Unicode MS" w:hAnsi="Tahoma" w:cs="Tahoma"/>
        </w:rPr>
        <w:t xml:space="preserve"> güvenlik </w:t>
      </w:r>
      <w:proofErr w:type="spellStart"/>
      <w:r w:rsidRPr="007E40A5">
        <w:rPr>
          <w:rFonts w:ascii="Tahoma" w:eastAsia="Arial Unicode MS" w:hAnsi="Tahoma" w:cs="Tahoma"/>
        </w:rPr>
        <w:t>standartı</w:t>
      </w:r>
      <w:proofErr w:type="spellEnd"/>
      <w:r w:rsidRPr="007E40A5">
        <w:rPr>
          <w:rFonts w:ascii="Tahoma" w:eastAsia="Arial Unicode MS" w:hAnsi="Tahoma" w:cs="Tahoma"/>
        </w:rPr>
        <w:t xml:space="preserve"> olan WPA3 ile gelen yeni güvenlik yetenekleri de raporda </w:t>
      </w:r>
      <w:r w:rsidR="00C1718E" w:rsidRPr="007E40A5">
        <w:rPr>
          <w:rFonts w:ascii="Tahoma" w:eastAsia="Arial Unicode MS" w:hAnsi="Tahoma" w:cs="Tahoma"/>
        </w:rPr>
        <w:t>mercek altına alındı</w:t>
      </w:r>
      <w:r w:rsidRPr="007E40A5">
        <w:rPr>
          <w:rFonts w:ascii="Tahoma" w:eastAsia="Arial Unicode MS" w:hAnsi="Tahoma" w:cs="Tahoma"/>
        </w:rPr>
        <w:t xml:space="preserve">. WPA3 ile kablosuz ağ yönetim paketlerinin artık şifreli olarak iletildiğine vurgu yapılan raporda, böylece kablosuz ağ sızma testi eğitimlerinde ilk öğretilen </w:t>
      </w:r>
      <w:proofErr w:type="spellStart"/>
      <w:r w:rsidRPr="007E40A5">
        <w:rPr>
          <w:rFonts w:ascii="Tahoma" w:eastAsia="Arial Unicode MS" w:hAnsi="Tahoma" w:cs="Tahoma"/>
        </w:rPr>
        <w:t>deauth</w:t>
      </w:r>
      <w:proofErr w:type="spellEnd"/>
      <w:r w:rsidRPr="007E40A5">
        <w:rPr>
          <w:rFonts w:ascii="Tahoma" w:eastAsia="Arial Unicode MS" w:hAnsi="Tahoma" w:cs="Tahoma"/>
        </w:rPr>
        <w:t xml:space="preserve"> paketleri kullanılarak kablosuz ağa bağlı olan kullanıcıların kablosuz ağdan kopmasının ve yeniden bağlanmak için istek yaptıklarında parola </w:t>
      </w:r>
      <w:proofErr w:type="spellStart"/>
      <w:r w:rsidRPr="007E40A5">
        <w:rPr>
          <w:rFonts w:ascii="Tahoma" w:eastAsia="Arial Unicode MS" w:hAnsi="Tahoma" w:cs="Tahoma"/>
        </w:rPr>
        <w:t>hashlerinin</w:t>
      </w:r>
      <w:proofErr w:type="spellEnd"/>
      <w:r w:rsidRPr="007E40A5">
        <w:rPr>
          <w:rFonts w:ascii="Tahoma" w:eastAsia="Arial Unicode MS" w:hAnsi="Tahoma" w:cs="Tahoma"/>
        </w:rPr>
        <w:t xml:space="preserve"> çalınmasının önüne geçildiği belirtildi. </w:t>
      </w:r>
    </w:p>
    <w:p w:rsidR="00C1718E" w:rsidRPr="007E40A5" w:rsidRDefault="00C1718E" w:rsidP="00D71B64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</w:rPr>
      </w:pPr>
    </w:p>
    <w:p w:rsidR="00D71B64" w:rsidRPr="007E40A5" w:rsidRDefault="00D71B64" w:rsidP="00D71B64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</w:rPr>
      </w:pPr>
      <w:r w:rsidRPr="007E40A5">
        <w:rPr>
          <w:rStyle w:val="YokA"/>
          <w:rFonts w:ascii="Tahoma" w:hAnsi="Tahoma" w:cs="Tahoma"/>
          <w:bCs/>
        </w:rPr>
        <w:t xml:space="preserve">STM </w:t>
      </w:r>
      <w:proofErr w:type="spellStart"/>
      <w:r w:rsidRPr="007E40A5">
        <w:rPr>
          <w:rStyle w:val="YokA"/>
          <w:rFonts w:ascii="Tahoma" w:hAnsi="Tahoma" w:cs="Tahoma"/>
          <w:bCs/>
        </w:rPr>
        <w:t>ThinkTech’in</w:t>
      </w:r>
      <w:proofErr w:type="spellEnd"/>
      <w:r w:rsidRPr="007E40A5">
        <w:rPr>
          <w:rStyle w:val="YokA"/>
          <w:rFonts w:ascii="Tahoma" w:hAnsi="Tahoma" w:cs="Tahoma"/>
          <w:bCs/>
        </w:rPr>
        <w:t xml:space="preserve"> raporunda </w:t>
      </w:r>
      <w:r w:rsidR="00C1718E" w:rsidRPr="007E40A5">
        <w:rPr>
          <w:rFonts w:ascii="Tahoma" w:eastAsia="Arial Unicode MS" w:hAnsi="Tahoma" w:cs="Tahoma"/>
        </w:rPr>
        <w:t>dönem konusu olarak, b</w:t>
      </w:r>
      <w:r w:rsidRPr="007E40A5">
        <w:rPr>
          <w:rFonts w:ascii="Tahoma" w:eastAsia="Arial Unicode MS" w:hAnsi="Tahoma" w:cs="Tahoma"/>
        </w:rPr>
        <w:t xml:space="preserve">ilgi işlem cihazlarının belleğini </w:t>
      </w:r>
      <w:r w:rsidR="00C1718E" w:rsidRPr="007E40A5">
        <w:rPr>
          <w:rFonts w:ascii="Tahoma" w:eastAsia="Arial Unicode MS" w:hAnsi="Tahoma" w:cs="Tahoma"/>
        </w:rPr>
        <w:t xml:space="preserve">hedef alan ve </w:t>
      </w:r>
      <w:r w:rsidRPr="007E40A5">
        <w:rPr>
          <w:rFonts w:ascii="Tahoma" w:eastAsia="Arial Unicode MS" w:hAnsi="Tahoma" w:cs="Tahoma"/>
        </w:rPr>
        <w:t>bellek içinde faaliyet gö</w:t>
      </w:r>
      <w:r w:rsidR="00C1718E" w:rsidRPr="007E40A5">
        <w:rPr>
          <w:rFonts w:ascii="Tahoma" w:eastAsia="Arial Unicode MS" w:hAnsi="Tahoma" w:cs="Tahoma"/>
        </w:rPr>
        <w:t>steren “</w:t>
      </w:r>
      <w:proofErr w:type="spellStart"/>
      <w:r w:rsidR="00C1718E" w:rsidRPr="007E40A5">
        <w:rPr>
          <w:rFonts w:ascii="Tahoma" w:eastAsia="Arial Unicode MS" w:hAnsi="Tahoma" w:cs="Tahoma"/>
        </w:rPr>
        <w:t>Praying</w:t>
      </w:r>
      <w:proofErr w:type="spellEnd"/>
      <w:r w:rsidR="00C1718E" w:rsidRPr="007E40A5">
        <w:rPr>
          <w:rFonts w:ascii="Tahoma" w:eastAsia="Arial Unicode MS" w:hAnsi="Tahoma" w:cs="Tahoma"/>
        </w:rPr>
        <w:t xml:space="preserve"> Mantis” isimli, APT (Gelişmiş Kalıcı Tehdit) grubunun analizi yer aldı. İ</w:t>
      </w:r>
      <w:r w:rsidRPr="007E40A5">
        <w:rPr>
          <w:rFonts w:ascii="Tahoma" w:eastAsia="Arial Unicode MS" w:hAnsi="Tahoma" w:cs="Tahoma"/>
        </w:rPr>
        <w:t>smi bilindik b</w:t>
      </w:r>
      <w:r w:rsidR="00C1718E" w:rsidRPr="007E40A5">
        <w:rPr>
          <w:rFonts w:ascii="Tahoma" w:eastAsia="Arial Unicode MS" w:hAnsi="Tahoma" w:cs="Tahoma"/>
        </w:rPr>
        <w:t xml:space="preserve">irçok organizasyonu hedef alan </w:t>
      </w:r>
      <w:r w:rsidRPr="007E40A5">
        <w:rPr>
          <w:rFonts w:ascii="Tahoma" w:eastAsia="Arial Unicode MS" w:hAnsi="Tahoma" w:cs="Tahoma"/>
        </w:rPr>
        <w:t>ve internete açık sunucular</w:t>
      </w:r>
      <w:r w:rsidR="00C1718E" w:rsidRPr="007E40A5">
        <w:rPr>
          <w:rFonts w:ascii="Tahoma" w:eastAsia="Arial Unicode MS" w:hAnsi="Tahoma" w:cs="Tahoma"/>
        </w:rPr>
        <w:t xml:space="preserve">ı sömürerek organizasyonların </w:t>
      </w:r>
      <w:r w:rsidRPr="007E40A5">
        <w:rPr>
          <w:rFonts w:ascii="Tahoma" w:eastAsia="Arial Unicode MS" w:hAnsi="Tahoma" w:cs="Tahoma"/>
        </w:rPr>
        <w:t xml:space="preserve">ağlarını açığa </w:t>
      </w:r>
      <w:r w:rsidR="00C1718E" w:rsidRPr="007E40A5">
        <w:rPr>
          <w:rFonts w:ascii="Tahoma" w:eastAsia="Arial Unicode MS" w:hAnsi="Tahoma" w:cs="Tahoma"/>
        </w:rPr>
        <w:t xml:space="preserve">çıkaran bu tehdit aktörlerinin, hangi yolları izlediği raporda aktarıldı. </w:t>
      </w:r>
    </w:p>
    <w:p w:rsidR="00D71B64" w:rsidRPr="007E40A5" w:rsidRDefault="00D71B64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b/>
        </w:rPr>
      </w:pPr>
    </w:p>
    <w:p w:rsidR="002E7E80" w:rsidRDefault="002E7E80" w:rsidP="002E7E80">
      <w:pPr>
        <w:pStyle w:val="GvdeA"/>
        <w:suppressAutoHyphens/>
        <w:spacing w:line="276" w:lineRule="auto"/>
        <w:jc w:val="both"/>
      </w:pPr>
      <w:r w:rsidRPr="008C3FEA">
        <w:rPr>
          <w:rFonts w:ascii="Tahoma" w:eastAsia="Arial Unicode MS" w:hAnsi="Tahoma" w:cs="Tahoma"/>
          <w:b/>
          <w:sz w:val="20"/>
        </w:rPr>
        <w:t>Rapora Erişim Linki:</w:t>
      </w:r>
      <w:r>
        <w:rPr>
          <w:rFonts w:ascii="Tahoma" w:eastAsia="Arial Unicode MS" w:hAnsi="Tahoma" w:cs="Tahoma"/>
          <w:b/>
          <w:sz w:val="20"/>
        </w:rPr>
        <w:t xml:space="preserve"> </w:t>
      </w:r>
      <w:hyperlink r:id="rId8" w:history="1">
        <w:r w:rsidRPr="00B26A0D">
          <w:rPr>
            <w:rStyle w:val="Kpr"/>
          </w:rPr>
          <w:t>https://thinktech.stm.com.tr/tr/siber-tehdit-durum-raporu-temmuz-eylul-2021</w:t>
        </w:r>
      </w:hyperlink>
    </w:p>
    <w:p w:rsidR="002E7E80" w:rsidRDefault="002E7E80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b/>
          <w:sz w:val="20"/>
        </w:rPr>
      </w:pPr>
    </w:p>
    <w:p w:rsidR="002E7E80" w:rsidRPr="006B4C86" w:rsidRDefault="002E7E80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b/>
          <w:sz w:val="20"/>
        </w:rPr>
      </w:pPr>
      <w:r w:rsidRPr="006B4C86">
        <w:rPr>
          <w:rFonts w:ascii="Tahoma" w:eastAsia="Arial Unicode MS" w:hAnsi="Tahoma" w:cs="Tahoma"/>
          <w:b/>
          <w:sz w:val="20"/>
        </w:rPr>
        <w:t xml:space="preserve">STM </w:t>
      </w:r>
      <w:proofErr w:type="spellStart"/>
      <w:r w:rsidRPr="006B4C86">
        <w:rPr>
          <w:rFonts w:ascii="Tahoma" w:eastAsia="Arial Unicode MS" w:hAnsi="Tahoma" w:cs="Tahoma"/>
          <w:b/>
          <w:sz w:val="20"/>
        </w:rPr>
        <w:t>ThinkTech</w:t>
      </w:r>
      <w:proofErr w:type="spellEnd"/>
      <w:r w:rsidRPr="006B4C86">
        <w:rPr>
          <w:rFonts w:ascii="Tahoma" w:eastAsia="Arial Unicode MS" w:hAnsi="Tahoma" w:cs="Tahoma"/>
          <w:b/>
          <w:sz w:val="20"/>
        </w:rPr>
        <w:t xml:space="preserve"> Hakkında</w:t>
      </w:r>
    </w:p>
    <w:p w:rsidR="002E7E80" w:rsidRDefault="002E7E80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sz w:val="20"/>
        </w:rPr>
      </w:pPr>
    </w:p>
    <w:p w:rsidR="002E7E80" w:rsidRPr="006B4C86" w:rsidRDefault="002E7E80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sz w:val="20"/>
        </w:rPr>
      </w:pPr>
      <w:r w:rsidRPr="006B4C86">
        <w:rPr>
          <w:rFonts w:ascii="Tahoma" w:eastAsia="Arial Unicode MS" w:hAnsi="Tahoma" w:cs="Tahoma"/>
          <w:sz w:val="20"/>
        </w:rPr>
        <w:t xml:space="preserve">Savunma–güvenlik ve mühendislik-teknoloji alanlarında var olan bilgi birikimi ve insan kaynağıyla bölgesel ve küresel stratejiler, teknolojik öngörüler, olası senaryolar ve karar destek sistemleri geliştiriyor. Türkiye’nin gelecek </w:t>
      </w:r>
      <w:proofErr w:type="gramStart"/>
      <w:r w:rsidRPr="006B4C86">
        <w:rPr>
          <w:rFonts w:ascii="Tahoma" w:eastAsia="Arial Unicode MS" w:hAnsi="Tahoma" w:cs="Tahoma"/>
          <w:sz w:val="20"/>
        </w:rPr>
        <w:t>vizyonuna</w:t>
      </w:r>
      <w:proofErr w:type="gramEnd"/>
      <w:r w:rsidRPr="006B4C86">
        <w:rPr>
          <w:rFonts w:ascii="Tahoma" w:eastAsia="Arial Unicode MS" w:hAnsi="Tahoma" w:cs="Tahoma"/>
          <w:sz w:val="20"/>
        </w:rPr>
        <w:t xml:space="preserve"> uygulanabilir, düşünsel ve pratik katkılar sunan </w:t>
      </w:r>
      <w:proofErr w:type="spellStart"/>
      <w:r w:rsidRPr="006B4C86">
        <w:rPr>
          <w:rFonts w:ascii="Tahoma" w:eastAsia="Arial Unicode MS" w:hAnsi="Tahoma" w:cs="Tahoma"/>
          <w:sz w:val="20"/>
        </w:rPr>
        <w:t>ThinkTech</w:t>
      </w:r>
      <w:proofErr w:type="spellEnd"/>
      <w:r w:rsidRPr="006B4C86">
        <w:rPr>
          <w:rFonts w:ascii="Tahoma" w:eastAsia="Arial Unicode MS" w:hAnsi="Tahoma" w:cs="Tahoma"/>
          <w:sz w:val="20"/>
        </w:rPr>
        <w:t xml:space="preserve">, başta savunma olmak üzere havacılık, enerji, ulaştırma, eğitim ve sağlık alanlarında objektif bir yaklaşımla teknoloji odaklı analizler ile özgün çözümler geliştiriyor ve veri işleme yeteceğiyle raporlar yayımlıyor. STM </w:t>
      </w:r>
      <w:proofErr w:type="spellStart"/>
      <w:r w:rsidRPr="006B4C86">
        <w:rPr>
          <w:rFonts w:ascii="Tahoma" w:eastAsia="Arial Unicode MS" w:hAnsi="Tahoma" w:cs="Tahoma"/>
          <w:sz w:val="20"/>
        </w:rPr>
        <w:t>ThinkTech</w:t>
      </w:r>
      <w:proofErr w:type="spellEnd"/>
      <w:r w:rsidRPr="006B4C86">
        <w:rPr>
          <w:rFonts w:ascii="Tahoma" w:eastAsia="Arial Unicode MS" w:hAnsi="Tahoma" w:cs="Tahoma"/>
          <w:sz w:val="20"/>
        </w:rPr>
        <w:t>, geliştirmekte olduğu öngörüler ve stratejik çözümler için akademisyenler, diğer düşünce kuruluşları, üniversiteler, yüksek teknoloji üreten firmalar, kamu kurumları ve karar vericilerle iş birliği gerçekleştiriyor.</w:t>
      </w:r>
    </w:p>
    <w:p w:rsidR="002E7E80" w:rsidRPr="006B4C86" w:rsidRDefault="002E7E80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sz w:val="20"/>
        </w:rPr>
      </w:pPr>
    </w:p>
    <w:p w:rsidR="002E7E80" w:rsidRPr="006B4C86" w:rsidRDefault="002E7E80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b/>
          <w:sz w:val="20"/>
        </w:rPr>
      </w:pPr>
      <w:r w:rsidRPr="006B4C86">
        <w:rPr>
          <w:rFonts w:ascii="Tahoma" w:eastAsia="Arial Unicode MS" w:hAnsi="Tahoma" w:cs="Tahoma"/>
          <w:b/>
          <w:sz w:val="20"/>
        </w:rPr>
        <w:t>STM Hakkında</w:t>
      </w:r>
    </w:p>
    <w:p w:rsidR="002E7E80" w:rsidRDefault="002E7E80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sz w:val="20"/>
        </w:rPr>
      </w:pPr>
      <w:r w:rsidRPr="006B4C86">
        <w:rPr>
          <w:rFonts w:ascii="Tahoma" w:eastAsia="Arial Unicode MS" w:hAnsi="Tahoma" w:cs="Tahoma"/>
          <w:sz w:val="20"/>
        </w:rPr>
        <w:t xml:space="preserve">Savunma sanayiine mühendislik, teknoloji ve danışmanlık alanlarında çeyrek asırdan uzun </w:t>
      </w:r>
      <w:r>
        <w:rPr>
          <w:rFonts w:ascii="Tahoma" w:eastAsia="Arial Unicode MS" w:hAnsi="Tahoma" w:cs="Tahoma"/>
          <w:sz w:val="20"/>
        </w:rPr>
        <w:t>bir süredir hizmet veren STM</w:t>
      </w:r>
      <w:r w:rsidRPr="006B4C86">
        <w:rPr>
          <w:rFonts w:ascii="Tahoma" w:eastAsia="Arial Unicode MS" w:hAnsi="Tahoma" w:cs="Tahoma"/>
          <w:sz w:val="20"/>
        </w:rPr>
        <w:t xml:space="preserve">, bugün sahip olduğu temel kabiliyet ve teknolojilerini askeri deniz platformlarından </w:t>
      </w:r>
      <w:proofErr w:type="gramStart"/>
      <w:r w:rsidRPr="006B4C86">
        <w:rPr>
          <w:rFonts w:ascii="Tahoma" w:eastAsia="Arial Unicode MS" w:hAnsi="Tahoma" w:cs="Tahoma"/>
          <w:sz w:val="20"/>
        </w:rPr>
        <w:t>uydu</w:t>
      </w:r>
      <w:proofErr w:type="gramEnd"/>
      <w:r w:rsidRPr="006B4C86">
        <w:rPr>
          <w:rFonts w:ascii="Tahoma" w:eastAsia="Arial Unicode MS" w:hAnsi="Tahoma" w:cs="Tahoma"/>
          <w:sz w:val="20"/>
        </w:rPr>
        <w:t xml:space="preserve"> çalışmalarına, siber güvenlikten büyük veri analitiği ve yapay zekâ uygulamalarına varan stratejik alanlarda kullanarak Türkiye'nin ve dost ülkelerin ihtiyacı olan kritik alanlarda çalışmalar yürütmektedir.</w:t>
      </w:r>
    </w:p>
    <w:p w:rsidR="002E7E80" w:rsidRDefault="002E7E80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sz w:val="20"/>
        </w:rPr>
      </w:pPr>
    </w:p>
    <w:p w:rsidR="002E7E80" w:rsidRPr="008C3FEA" w:rsidRDefault="007A7069" w:rsidP="002E7E80">
      <w:pPr>
        <w:pStyle w:val="GvdeA"/>
        <w:suppressAutoHyphens/>
        <w:spacing w:line="276" w:lineRule="auto"/>
        <w:jc w:val="both"/>
        <w:rPr>
          <w:rFonts w:ascii="Tahoma" w:eastAsia="Arial Unicode MS" w:hAnsi="Tahoma" w:cs="Tahoma"/>
          <w:b/>
          <w:sz w:val="20"/>
        </w:rPr>
      </w:pPr>
      <w:hyperlink r:id="rId9" w:history="1">
        <w:r w:rsidR="002E7E80" w:rsidRPr="00EA77BA">
          <w:rPr>
            <w:rStyle w:val="Kpr"/>
            <w:rFonts w:ascii="Tahoma" w:eastAsia="Arial Unicode MS" w:hAnsi="Tahoma" w:cs="Tahoma"/>
            <w:b/>
            <w:sz w:val="20"/>
          </w:rPr>
          <w:t>www.stm.com.tr</w:t>
        </w:r>
      </w:hyperlink>
    </w:p>
    <w:p w:rsidR="00321602" w:rsidRDefault="00321602">
      <w:bookmarkStart w:id="0" w:name="_GoBack"/>
      <w:bookmarkEnd w:id="0"/>
    </w:p>
    <w:sectPr w:rsidR="00321602" w:rsidSect="003E548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69" w:rsidRDefault="007A7069" w:rsidP="003E5487">
      <w:r>
        <w:separator/>
      </w:r>
    </w:p>
  </w:endnote>
  <w:endnote w:type="continuationSeparator" w:id="0">
    <w:p w:rsidR="007A7069" w:rsidRDefault="007A7069" w:rsidP="003E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8A" w:rsidRDefault="003E5487" w:rsidP="003E5487">
    <w:pPr>
      <w:pStyle w:val="AltBilgi"/>
    </w:pPr>
    <w:bookmarkStart w:id="2" w:name="TITUS1FooterPrimary"/>
    <w:r w:rsidRPr="003E5487">
      <w:rPr>
        <w:rFonts w:ascii="Verdana" w:hAnsi="Verdana"/>
        <w:b/>
        <w:color w:val="000000"/>
        <w:sz w:val="20"/>
      </w:rPr>
      <w:t>TASNİF DIŞI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69" w:rsidRDefault="007A7069" w:rsidP="003E5487">
      <w:r>
        <w:separator/>
      </w:r>
    </w:p>
  </w:footnote>
  <w:footnote w:type="continuationSeparator" w:id="0">
    <w:p w:rsidR="007A7069" w:rsidRDefault="007A7069" w:rsidP="003E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87" w:rsidRDefault="003E5487" w:rsidP="003E5487">
    <w:pPr>
      <w:pStyle w:val="stBilgi"/>
    </w:pPr>
    <w:r>
      <w:rPr>
        <w:noProof/>
      </w:rPr>
      <w:drawing>
        <wp:inline distT="0" distB="0" distL="0" distR="0" wp14:anchorId="042FFC81" wp14:editId="3FF688E0">
          <wp:extent cx="1031875" cy="412750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87" w:rsidRDefault="003E5487" w:rsidP="003E5487">
    <w:pPr>
      <w:pStyle w:val="stBilgi"/>
    </w:pPr>
    <w:bookmarkStart w:id="1" w:name="TITUS1HeaderPrimary"/>
    <w:r w:rsidRPr="003E5487">
      <w:rPr>
        <w:rFonts w:ascii="Verdana" w:hAnsi="Verdana"/>
        <w:b/>
        <w:color w:val="000000"/>
        <w:sz w:val="20"/>
      </w:rPr>
      <w:t>TASNİF DIŞI</w:t>
    </w:r>
  </w:p>
  <w:bookmarkEnd w:id="1"/>
  <w:p w:rsidR="006B4C86" w:rsidRDefault="00A65858" w:rsidP="003E5487">
    <w:pPr>
      <w:pStyle w:val="stBilgi"/>
    </w:pPr>
    <w:r>
      <w:rPr>
        <w:noProof/>
      </w:rPr>
      <w:drawing>
        <wp:inline distT="0" distB="0" distL="0" distR="0" wp14:anchorId="7838AA6D" wp14:editId="30EF1ED8">
          <wp:extent cx="1031875" cy="412750"/>
          <wp:effectExtent l="0" t="0" r="0" b="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8A" w:rsidRDefault="00A65858" w:rsidP="003E5487">
    <w:pPr>
      <w:pStyle w:val="stBilgi"/>
    </w:pPr>
    <w:r>
      <w:rPr>
        <w:noProof/>
      </w:rPr>
      <w:drawing>
        <wp:inline distT="0" distB="0" distL="0" distR="0" wp14:anchorId="607F1910" wp14:editId="06F1576D">
          <wp:extent cx="1031875" cy="412750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4C28"/>
    <w:multiLevelType w:val="hybridMultilevel"/>
    <w:tmpl w:val="DC22B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D5"/>
    <w:rsid w:val="00020429"/>
    <w:rsid w:val="00036D84"/>
    <w:rsid w:val="000A54FC"/>
    <w:rsid w:val="002C49BD"/>
    <w:rsid w:val="002E7E80"/>
    <w:rsid w:val="00312210"/>
    <w:rsid w:val="00321602"/>
    <w:rsid w:val="003E5487"/>
    <w:rsid w:val="004369ED"/>
    <w:rsid w:val="004408D5"/>
    <w:rsid w:val="004C22E5"/>
    <w:rsid w:val="0064338D"/>
    <w:rsid w:val="00690D16"/>
    <w:rsid w:val="007A7069"/>
    <w:rsid w:val="007D0507"/>
    <w:rsid w:val="007E40A5"/>
    <w:rsid w:val="00823F9C"/>
    <w:rsid w:val="00904E96"/>
    <w:rsid w:val="00926666"/>
    <w:rsid w:val="00A531B3"/>
    <w:rsid w:val="00A65858"/>
    <w:rsid w:val="00AA5713"/>
    <w:rsid w:val="00C1718E"/>
    <w:rsid w:val="00D71B64"/>
    <w:rsid w:val="00D72EFA"/>
    <w:rsid w:val="00F65187"/>
    <w:rsid w:val="00F8632F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441D"/>
  <w15:chartTrackingRefBased/>
  <w15:docId w15:val="{050CE8E4-70BA-4597-A0BD-D770EE25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E8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u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unhideWhenUsed/>
    <w:rsid w:val="002E7E80"/>
    <w:pP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tr-TR"/>
    </w:rPr>
  </w:style>
  <w:style w:type="paragraph" w:customStyle="1" w:styleId="GvdeA">
    <w:name w:val="Gövde A"/>
    <w:rsid w:val="002E7E80"/>
    <w:pPr>
      <w:spacing w:after="0" w:line="240" w:lineRule="auto"/>
    </w:pPr>
    <w:rPr>
      <w:rFonts w:ascii="Helvetica" w:eastAsia="Helvetica" w:hAnsi="Helvetica" w:cs="Arial Unicode MS"/>
      <w:color w:val="000000"/>
      <w:u w:color="000000"/>
      <w:lang w:eastAsia="tr-TR"/>
    </w:rPr>
  </w:style>
  <w:style w:type="paragraph" w:customStyle="1" w:styleId="SaptanmA">
    <w:name w:val="Saptanmış A"/>
    <w:rsid w:val="002E7E80"/>
    <w:pPr>
      <w:spacing w:line="254" w:lineRule="auto"/>
    </w:pPr>
    <w:rPr>
      <w:rFonts w:ascii="Helvetica" w:eastAsia="Arial Unicode MS" w:hAnsi="Helvetica" w:cs="Arial Unicode MS"/>
      <w:color w:val="000000"/>
      <w:u w:color="000000"/>
      <w:lang w:val="en-US" w:eastAsia="tr-TR"/>
    </w:rPr>
  </w:style>
  <w:style w:type="character" w:customStyle="1" w:styleId="YokA">
    <w:name w:val="Yok A"/>
    <w:rsid w:val="002E7E80"/>
  </w:style>
  <w:style w:type="paragraph" w:styleId="stBilgi">
    <w:name w:val="header"/>
    <w:basedOn w:val="Normal"/>
    <w:link w:val="stBilgiChar"/>
    <w:uiPriority w:val="99"/>
    <w:unhideWhenUsed/>
    <w:rsid w:val="002E7E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7E80"/>
    <w:rPr>
      <w:rFonts w:ascii="Times New Roman" w:eastAsia="Arial Unicode MS" w:hAnsi="Times New Roman" w:cs="Times New Roman"/>
      <w:sz w:val="24"/>
      <w:szCs w:val="24"/>
      <w:u w:color="00000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E7E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7E80"/>
    <w:rPr>
      <w:rFonts w:ascii="Times New Roman" w:eastAsia="Arial Unicode MS" w:hAnsi="Times New Roman" w:cs="Times New Roman"/>
      <w:sz w:val="24"/>
      <w:szCs w:val="24"/>
      <w:u w:color="000000"/>
      <w:lang w:val="en-US"/>
    </w:rPr>
  </w:style>
  <w:style w:type="character" w:styleId="Kpr">
    <w:name w:val="Hyperlink"/>
    <w:basedOn w:val="VarsaylanParagrafYazTipi"/>
    <w:uiPriority w:val="99"/>
    <w:unhideWhenUsed/>
    <w:rsid w:val="002E7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tech.stm.com.tr/tr/siber-tehdit-durum-raporu-temmuz-eylul-202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m.com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C250-9EB9-409F-AC20-7EF214F3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KURUMSAL BİLGİ YÖNETİMİ MÜDÜRLÜĞÜ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>Hc2n3B9s</cp:keywords>
  <dc:description/>
  <cp:lastModifiedBy>Ayça ARINCI</cp:lastModifiedBy>
  <cp:revision>5</cp:revision>
  <dcterms:created xsi:type="dcterms:W3CDTF">2021-10-27T10:36:00Z</dcterms:created>
  <dcterms:modified xsi:type="dcterms:W3CDTF">2021-10-27T10:55:00Z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87de1bb5-9e31-4ce1-91d8-7262a90538df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Unclassified">
    <vt:lpwstr>JK8PNdPA</vt:lpwstr>
  </property>
  <property fmtid="{D5CDD505-2E9C-101B-9397-08002B2CF9AE}" pid="7" name="KVKK">
    <vt:lpwstr>65veE7AK</vt:lpwstr>
  </property>
</Properties>
</file>