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85" w:rsidRPr="00CF3F85" w:rsidRDefault="00CF3F85" w:rsidP="00CF3F85">
      <w:pPr>
        <w:pBdr>
          <w:top w:val="nil"/>
          <w:left w:val="nil"/>
          <w:bottom w:val="nil"/>
          <w:right w:val="nil"/>
          <w:between w:val="nil"/>
          <w:bar w:val="nil"/>
        </w:pBdr>
        <w:spacing w:after="150" w:line="240" w:lineRule="auto"/>
        <w:rPr>
          <w:rFonts w:ascii="Tahoma" w:eastAsia="Tahoma" w:hAnsi="Tahoma" w:cs="Tahoma"/>
          <w:b/>
          <w:bCs/>
          <w:color w:val="000000" w:themeColor="text1"/>
          <w:u w:color="000000"/>
          <w:bdr w:val="nil"/>
          <w:lang w:eastAsia="tr-TR"/>
        </w:rPr>
      </w:pPr>
      <w:r w:rsidRPr="00CF3F85">
        <w:rPr>
          <w:rFonts w:ascii="Tahoma" w:eastAsia="Arial Unicode MS" w:hAnsi="Tahoma" w:cs="Arial Unicode MS"/>
          <w:b/>
          <w:bCs/>
          <w:noProof/>
          <w:color w:val="000000" w:themeColor="text1"/>
          <w:u w:color="000000"/>
          <w:bdr w:val="nil"/>
          <w:lang w:eastAsia="tr-TR"/>
        </w:rPr>
        <mc:AlternateContent>
          <mc:Choice Requires="wps">
            <w:drawing>
              <wp:anchor distT="0" distB="0" distL="0" distR="0" simplePos="0" relativeHeight="251659264" behindDoc="0" locked="0" layoutInCell="1" allowOverlap="1" wp14:anchorId="2630DC2C" wp14:editId="3B7B464C">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6BDC4F6A"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CF3F85">
        <w:rPr>
          <w:rFonts w:ascii="Tahoma" w:eastAsia="Arial Unicode MS" w:hAnsi="Tahoma" w:cs="Arial Unicode MS"/>
          <w:b/>
          <w:bCs/>
          <w:color w:val="000000" w:themeColor="text1"/>
          <w:u w:color="000000"/>
          <w:bdr w:val="nil"/>
          <w:lang w:eastAsia="tr-TR"/>
        </w:rPr>
        <w:t>Basın Bülteni                                                                                                   Aralık 2021</w:t>
      </w:r>
    </w:p>
    <w:p w:rsidR="000449E5" w:rsidRDefault="000449E5" w:rsidP="00CF3F85">
      <w:pPr>
        <w:pBdr>
          <w:top w:val="nil"/>
          <w:left w:val="nil"/>
          <w:bottom w:val="nil"/>
          <w:right w:val="nil"/>
          <w:between w:val="nil"/>
          <w:bar w:val="nil"/>
        </w:pBdr>
        <w:suppressAutoHyphens/>
        <w:spacing w:line="276" w:lineRule="auto"/>
        <w:jc w:val="center"/>
        <w:rPr>
          <w:rFonts w:ascii="Tahoma" w:eastAsia="Arial Unicode MS" w:hAnsi="Tahoma" w:cs="Tahoma"/>
          <w:b/>
          <w:bCs/>
          <w:color w:val="000000" w:themeColor="text1"/>
          <w:sz w:val="24"/>
          <w:szCs w:val="20"/>
          <w:u w:color="000000"/>
          <w:bdr w:val="nil"/>
          <w:lang w:eastAsia="tr-TR"/>
        </w:rPr>
      </w:pPr>
    </w:p>
    <w:p w:rsidR="00CF3F85" w:rsidRPr="00CF3F85" w:rsidRDefault="00CF3F85" w:rsidP="00CF3F85">
      <w:pPr>
        <w:pBdr>
          <w:top w:val="nil"/>
          <w:left w:val="nil"/>
          <w:bottom w:val="nil"/>
          <w:right w:val="nil"/>
          <w:between w:val="nil"/>
          <w:bar w:val="nil"/>
        </w:pBdr>
        <w:suppressAutoHyphens/>
        <w:spacing w:line="276" w:lineRule="auto"/>
        <w:jc w:val="center"/>
        <w:rPr>
          <w:rFonts w:ascii="Tahoma" w:eastAsia="Arial Unicode MS" w:hAnsi="Tahoma" w:cs="Tahoma"/>
          <w:b/>
          <w:bCs/>
          <w:color w:val="000000" w:themeColor="text1"/>
          <w:sz w:val="24"/>
          <w:szCs w:val="20"/>
          <w:u w:color="000000"/>
          <w:bdr w:val="nil"/>
          <w:lang w:eastAsia="tr-TR"/>
        </w:rPr>
      </w:pPr>
      <w:r w:rsidRPr="00CF3F85">
        <w:rPr>
          <w:rFonts w:ascii="Tahoma" w:eastAsia="Arial Unicode MS" w:hAnsi="Tahoma" w:cs="Tahoma"/>
          <w:b/>
          <w:bCs/>
          <w:color w:val="000000" w:themeColor="text1"/>
          <w:sz w:val="24"/>
          <w:szCs w:val="20"/>
          <w:u w:color="000000"/>
          <w:bdr w:val="nil"/>
          <w:lang w:eastAsia="tr-TR"/>
        </w:rPr>
        <w:t>STM THINKTECH’İN İKİNCİ KİTABI YAYINDA:</w:t>
      </w:r>
    </w:p>
    <w:p w:rsidR="00CF3F85" w:rsidRPr="00CF3F85" w:rsidRDefault="00CF3F85" w:rsidP="00CF3F85">
      <w:pPr>
        <w:pBdr>
          <w:top w:val="nil"/>
          <w:left w:val="nil"/>
          <w:bottom w:val="nil"/>
          <w:right w:val="nil"/>
          <w:between w:val="nil"/>
          <w:bar w:val="nil"/>
        </w:pBdr>
        <w:suppressAutoHyphens/>
        <w:spacing w:line="276" w:lineRule="auto"/>
        <w:jc w:val="center"/>
        <w:rPr>
          <w:rFonts w:ascii="Tahoma" w:eastAsia="Arial Unicode MS" w:hAnsi="Tahoma" w:cs="Tahoma"/>
          <w:b/>
          <w:bCs/>
          <w:color w:val="000000" w:themeColor="text1"/>
          <w:sz w:val="24"/>
          <w:szCs w:val="20"/>
          <w:u w:color="000000"/>
          <w:bdr w:val="nil"/>
          <w:lang w:eastAsia="tr-TR"/>
        </w:rPr>
      </w:pPr>
      <w:r w:rsidRPr="00CF3F85">
        <w:rPr>
          <w:rFonts w:ascii="Tahoma" w:eastAsia="Arial Unicode MS" w:hAnsi="Tahoma" w:cs="Tahoma"/>
          <w:b/>
          <w:bCs/>
          <w:color w:val="000000" w:themeColor="text1"/>
          <w:sz w:val="24"/>
          <w:szCs w:val="20"/>
          <w:u w:color="000000"/>
          <w:bdr w:val="nil"/>
          <w:lang w:eastAsia="tr-TR"/>
        </w:rPr>
        <w:t>TÜRK SAVUNM</w:t>
      </w:r>
      <w:bookmarkStart w:id="0" w:name="_GoBack"/>
      <w:bookmarkEnd w:id="0"/>
      <w:r w:rsidRPr="00CF3F85">
        <w:rPr>
          <w:rFonts w:ascii="Tahoma" w:eastAsia="Arial Unicode MS" w:hAnsi="Tahoma" w:cs="Tahoma"/>
          <w:b/>
          <w:bCs/>
          <w:color w:val="000000" w:themeColor="text1"/>
          <w:sz w:val="24"/>
          <w:szCs w:val="20"/>
          <w:u w:color="000000"/>
          <w:bdr w:val="nil"/>
          <w:lang w:eastAsia="tr-TR"/>
        </w:rPr>
        <w:t>A SANAYİİNİN YÜKSELİŞİ VE AMBARGOLAR</w:t>
      </w:r>
    </w:p>
    <w:p w:rsidR="00CF3F85" w:rsidRPr="00CF3F85" w:rsidRDefault="00CF3F85" w:rsidP="00CF3F85">
      <w:pPr>
        <w:pBdr>
          <w:top w:val="nil"/>
          <w:left w:val="nil"/>
          <w:bottom w:val="nil"/>
          <w:right w:val="nil"/>
          <w:between w:val="nil"/>
          <w:bar w:val="nil"/>
        </w:pBdr>
        <w:suppressAutoHyphens/>
        <w:spacing w:line="276" w:lineRule="auto"/>
        <w:jc w:val="center"/>
        <w:rPr>
          <w:rFonts w:ascii="Tahoma" w:eastAsia="Arial Unicode MS" w:hAnsi="Tahoma" w:cs="Tahoma"/>
          <w:bCs/>
          <w:i/>
          <w:color w:val="000000" w:themeColor="text1"/>
          <w:u w:color="000000"/>
          <w:bdr w:val="nil"/>
          <w:lang w:eastAsia="tr-TR"/>
        </w:rPr>
      </w:pPr>
      <w:r w:rsidRPr="00CF3F85">
        <w:rPr>
          <w:rFonts w:ascii="Tahoma" w:eastAsia="Arial Unicode MS" w:hAnsi="Tahoma" w:cs="Tahoma"/>
          <w:bCs/>
          <w:i/>
          <w:color w:val="000000" w:themeColor="text1"/>
          <w:u w:color="000000"/>
          <w:bdr w:val="nil"/>
          <w:lang w:eastAsia="tr-TR"/>
        </w:rPr>
        <w:t>Türkiye’nin teknoloji odaklı ilk düşünce merkezi STM ThinkTech, “Türk Savunma Sanayiinin Yükselişi ve Ambargolar/Kritik Teknoloji, Bileşen ve Alt Sistemlerde Yerlileşme ve Millileşme Hamlesi” isimli kitabını yayımladı.</w:t>
      </w:r>
    </w:p>
    <w:p w:rsidR="00CF3F85" w:rsidRPr="00CF3F85" w:rsidRDefault="00CF3F85" w:rsidP="00CF3F85">
      <w:pPr>
        <w:pBdr>
          <w:top w:val="nil"/>
          <w:left w:val="nil"/>
          <w:bottom w:val="nil"/>
          <w:right w:val="nil"/>
          <w:between w:val="nil"/>
          <w:bar w:val="nil"/>
        </w:pBdr>
        <w:suppressAutoHyphens/>
        <w:spacing w:line="276" w:lineRule="auto"/>
        <w:jc w:val="center"/>
        <w:rPr>
          <w:rFonts w:ascii="Tahoma" w:eastAsia="Arial Unicode MS" w:hAnsi="Tahoma" w:cs="Tahoma"/>
          <w:bCs/>
          <w:i/>
          <w:color w:val="000000" w:themeColor="text1"/>
          <w:u w:color="000000"/>
          <w:bdr w:val="nil"/>
          <w:lang w:eastAsia="tr-TR"/>
        </w:rPr>
      </w:pPr>
      <w:r w:rsidRPr="00CF3F85">
        <w:rPr>
          <w:rFonts w:ascii="Tahoma" w:eastAsia="Arial Unicode MS" w:hAnsi="Tahoma" w:cs="Tahoma"/>
          <w:bCs/>
          <w:i/>
          <w:color w:val="000000" w:themeColor="text1"/>
          <w:u w:color="000000"/>
          <w:bdr w:val="nil"/>
          <w:lang w:eastAsia="tr-TR"/>
        </w:rPr>
        <w:t xml:space="preserve">Alanında uzman 23 ismin görüşlerini paylaştığı kitapta, Türk savunma sanayiinin ambargolara karşı attığı adımlar, yerli ve milli teknoloji hamlesiyle elde edilen başarılar ve savunma sanayinin geleceği ele alındı.  </w:t>
      </w: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Arial Unicode MS" w:hAnsi="Tahoma" w:cs="Tahoma"/>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 xml:space="preserve">Türk savunma sanayii için yol gösterici nitelikte karar desteğine, analiz ve araştırmalara imza atan STM ThinkTech, basılı yayın hayatının ikinci kitabını okurlarla buluşturdu. Savunma ve güvenlik temalarını, alanında duayen katılımcılarla, panel ve odak toplantılarında masaya yatıran STM ThinkTech, Türk savunma sanayiine uygulanan ambargolar ve etkilerinin ele alındığı iki önemli odak toplantı gerçekleştirdi. </w:t>
      </w: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Arial Unicode MS" w:hAnsi="Tahoma" w:cs="Tahoma"/>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“Olası Bir Ambargo Durumuna Hazırlık Kapsamında Geliştirilmesi Gereken Kritik Teknoloji, Bileşen ve Alt Sistemler” ve “Savunma Sanayiinde Kısıtlamalar ve Ambargolar Çerçevesinde Yerlileşme ve Millileşme” başlıklı düzenlenen toplantılarda, başta savunma sanayii olmak üzere Türkiye’nin önemli kurumlarında görev yapan 23 uzman bir araya geldi.</w:t>
      </w: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Arial Unicode MS" w:hAnsi="Tahoma" w:cs="Tahoma"/>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 xml:space="preserve">Türkiye’nin gelecekte başka devletlerin ambargo, yaptırım, kısıtlama ve tehditlerine maruz kalmayan bir ülkeye dönüşmesi için ne gibi strateji ve yaklaşımlar izlemesi gerektiğinin detayları bu iki toplantıda mercek altına alındı. Ambargolar ve milli savunma sanayii hamlesinin ele alındığı toplantıda ortaya çıkan görüşler derlenerek, </w:t>
      </w:r>
      <w:r w:rsidRPr="00CF3F85">
        <w:rPr>
          <w:rFonts w:ascii="Tahoma" w:eastAsia="Arial Unicode MS" w:hAnsi="Tahoma" w:cs="Tahoma"/>
          <w:b/>
          <w:bCs/>
          <w:i/>
          <w:color w:val="000000" w:themeColor="text1"/>
          <w:sz w:val="20"/>
          <w:szCs w:val="20"/>
          <w:u w:color="000000"/>
          <w:bdr w:val="nil"/>
          <w:lang w:eastAsia="tr-TR"/>
        </w:rPr>
        <w:t>“Türk Savunma Sanayiinin Yükselişi ve Ambargolar / Kritik Teknoloji, Bileşen ve Alt Sistemlerde Yerlileşme ve Millileşme Hamlesi”</w:t>
      </w:r>
      <w:r w:rsidRPr="00CF3F85">
        <w:rPr>
          <w:rFonts w:ascii="Tahoma" w:eastAsia="Arial Unicode MS" w:hAnsi="Tahoma" w:cs="Tahoma"/>
          <w:bCs/>
          <w:color w:val="000000" w:themeColor="text1"/>
          <w:sz w:val="20"/>
          <w:szCs w:val="20"/>
          <w:u w:color="000000"/>
          <w:bdr w:val="nil"/>
          <w:lang w:eastAsia="tr-TR"/>
        </w:rPr>
        <w:t xml:space="preserve"> başlıklı kitapta toplandı.</w:t>
      </w: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Arial Unicode MS" w:hAnsi="Tahoma" w:cs="Tahoma"/>
          <w:b/>
          <w:bCs/>
          <w:color w:val="000000" w:themeColor="text1"/>
          <w:sz w:val="20"/>
          <w:szCs w:val="20"/>
          <w:u w:color="000000"/>
          <w:bdr w:val="nil"/>
          <w:lang w:eastAsia="tr-TR"/>
        </w:rPr>
      </w:pPr>
      <w:r w:rsidRPr="00CF3F85">
        <w:rPr>
          <w:rFonts w:ascii="Tahoma" w:eastAsia="Arial Unicode MS" w:hAnsi="Tahoma" w:cs="Tahoma"/>
          <w:b/>
          <w:bCs/>
          <w:color w:val="000000" w:themeColor="text1"/>
          <w:sz w:val="20"/>
          <w:szCs w:val="20"/>
          <w:u w:color="000000"/>
          <w:bdr w:val="nil"/>
          <w:lang w:eastAsia="tr-TR"/>
        </w:rPr>
        <w:t xml:space="preserve"> Türk savunma sanayii ambargolara karşı hangi adımları attı?</w:t>
      </w: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Arial Unicode MS" w:hAnsi="Tahoma" w:cs="Tahoma"/>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Beş ayrı bölümden oluşan eserde şu konu başlıkları ele alınıyor:</w:t>
      </w:r>
    </w:p>
    <w:p w:rsidR="00CF3F85" w:rsidRPr="00CF3F85" w:rsidRDefault="00CF3F85" w:rsidP="00CF3F85">
      <w:pPr>
        <w:numPr>
          <w:ilvl w:val="0"/>
          <w:numId w:val="1"/>
        </w:numPr>
        <w:pBdr>
          <w:top w:val="nil"/>
          <w:left w:val="nil"/>
          <w:bottom w:val="nil"/>
          <w:right w:val="nil"/>
          <w:between w:val="nil"/>
          <w:bar w:val="nil"/>
        </w:pBdr>
        <w:suppressAutoHyphens/>
        <w:spacing w:after="0" w:line="276" w:lineRule="auto"/>
        <w:jc w:val="both"/>
        <w:rPr>
          <w:rFonts w:ascii="Tahoma" w:eastAsia="Arial Unicode MS" w:hAnsi="Tahoma" w:cs="Tahoma"/>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Uluslararası İlişkiler Açısından Ambargolar</w:t>
      </w:r>
    </w:p>
    <w:p w:rsidR="00CF3F85" w:rsidRPr="00CF3F85" w:rsidRDefault="00CF3F85" w:rsidP="00CF3F85">
      <w:pPr>
        <w:numPr>
          <w:ilvl w:val="0"/>
          <w:numId w:val="1"/>
        </w:numPr>
        <w:pBdr>
          <w:top w:val="nil"/>
          <w:left w:val="nil"/>
          <w:bottom w:val="nil"/>
          <w:right w:val="nil"/>
          <w:between w:val="nil"/>
          <w:bar w:val="nil"/>
        </w:pBdr>
        <w:suppressAutoHyphens/>
        <w:spacing w:after="0" w:line="276" w:lineRule="auto"/>
        <w:jc w:val="both"/>
        <w:rPr>
          <w:rFonts w:ascii="Tahoma" w:eastAsia="Arial Unicode MS" w:hAnsi="Tahoma" w:cs="Tahoma"/>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Caatsa Yaptırımları Sonucunda Türk Savunma Sanayiinde Yaşanan Sıkıntılar</w:t>
      </w:r>
    </w:p>
    <w:p w:rsidR="00CF3F85" w:rsidRPr="00CF3F85" w:rsidRDefault="00CF3F85" w:rsidP="00CF3F85">
      <w:pPr>
        <w:numPr>
          <w:ilvl w:val="0"/>
          <w:numId w:val="1"/>
        </w:numPr>
        <w:pBdr>
          <w:top w:val="nil"/>
          <w:left w:val="nil"/>
          <w:bottom w:val="nil"/>
          <w:right w:val="nil"/>
          <w:between w:val="nil"/>
          <w:bar w:val="nil"/>
        </w:pBdr>
        <w:suppressAutoHyphens/>
        <w:spacing w:after="0" w:line="276" w:lineRule="auto"/>
        <w:jc w:val="both"/>
        <w:rPr>
          <w:rFonts w:ascii="Tahoma" w:eastAsia="Arial Unicode MS" w:hAnsi="Tahoma" w:cs="Tahoma"/>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Sorunlar ve Çözüm Önerileri: Ambargolara Karşı Neler Yapılabilir?</w:t>
      </w:r>
    </w:p>
    <w:p w:rsidR="00CF3F85" w:rsidRPr="00CF3F85" w:rsidRDefault="00CF3F85" w:rsidP="00CF3F85">
      <w:pPr>
        <w:numPr>
          <w:ilvl w:val="0"/>
          <w:numId w:val="1"/>
        </w:numPr>
        <w:pBdr>
          <w:top w:val="nil"/>
          <w:left w:val="nil"/>
          <w:bottom w:val="nil"/>
          <w:right w:val="nil"/>
          <w:between w:val="nil"/>
          <w:bar w:val="nil"/>
        </w:pBdr>
        <w:suppressAutoHyphens/>
        <w:spacing w:after="0" w:line="276" w:lineRule="auto"/>
        <w:jc w:val="both"/>
        <w:rPr>
          <w:rFonts w:ascii="Tahoma" w:eastAsia="Arial Unicode MS" w:hAnsi="Tahoma" w:cs="Tahoma"/>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 xml:space="preserve">Ambargoya Yanıt: Yerli ve Milli Bir Savunma Sanayii </w:t>
      </w:r>
    </w:p>
    <w:p w:rsidR="00CF3F85" w:rsidRPr="00CF3F85" w:rsidRDefault="00CF3F85" w:rsidP="00CF3F85">
      <w:pPr>
        <w:numPr>
          <w:ilvl w:val="0"/>
          <w:numId w:val="1"/>
        </w:numPr>
        <w:pBdr>
          <w:top w:val="nil"/>
          <w:left w:val="nil"/>
          <w:bottom w:val="nil"/>
          <w:right w:val="nil"/>
          <w:between w:val="nil"/>
          <w:bar w:val="nil"/>
        </w:pBdr>
        <w:suppressAutoHyphens/>
        <w:spacing w:after="0" w:line="276" w:lineRule="auto"/>
        <w:jc w:val="both"/>
        <w:rPr>
          <w:rFonts w:ascii="Tahoma" w:eastAsia="Arial Unicode MS" w:hAnsi="Tahoma" w:cs="Tahoma"/>
          <w:b/>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Yerli ve Milli Savunma S</w:t>
      </w:r>
      <w:r>
        <w:rPr>
          <w:rFonts w:ascii="Tahoma" w:eastAsia="Arial Unicode MS" w:hAnsi="Tahoma" w:cs="Tahoma"/>
          <w:bCs/>
          <w:color w:val="000000" w:themeColor="text1"/>
          <w:sz w:val="20"/>
          <w:szCs w:val="20"/>
          <w:u w:color="000000"/>
          <w:bdr w:val="nil"/>
          <w:lang w:eastAsia="tr-TR"/>
        </w:rPr>
        <w:t>anayii Hamlesi İle Başarılanlar</w:t>
      </w:r>
    </w:p>
    <w:p w:rsidR="00CF3F85" w:rsidRPr="00CF3F85" w:rsidRDefault="00CF3F85" w:rsidP="00CF3F85">
      <w:pPr>
        <w:pBdr>
          <w:top w:val="nil"/>
          <w:left w:val="nil"/>
          <w:bottom w:val="nil"/>
          <w:right w:val="nil"/>
          <w:between w:val="nil"/>
          <w:bar w:val="nil"/>
        </w:pBdr>
        <w:suppressAutoHyphens/>
        <w:spacing w:after="0" w:line="276" w:lineRule="auto"/>
        <w:jc w:val="both"/>
        <w:rPr>
          <w:rFonts w:ascii="Tahoma" w:eastAsia="Arial Unicode MS" w:hAnsi="Tahoma" w:cs="Tahoma"/>
          <w:b/>
          <w:bCs/>
          <w:color w:val="000000" w:themeColor="text1"/>
          <w:sz w:val="20"/>
          <w:szCs w:val="20"/>
          <w:u w:color="000000"/>
          <w:bdr w:val="nil"/>
          <w:lang w:eastAsia="tr-TR"/>
        </w:rPr>
      </w:pP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Arial Unicode MS" w:hAnsi="Tahoma" w:cs="Tahoma"/>
          <w:b/>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 xml:space="preserve">“Türk Savunma Sanayiinin Yükselişi ve Ambargolar” kitabına buradan ulaşabilirsiniz: </w:t>
      </w:r>
      <w:hyperlink r:id="rId7" w:history="1">
        <w:r w:rsidRPr="00CF3F85">
          <w:rPr>
            <w:rFonts w:ascii="Tahoma" w:eastAsia="Arial Unicode MS" w:hAnsi="Tahoma" w:cs="Tahoma"/>
            <w:bCs/>
            <w:color w:val="0563C1" w:themeColor="hyperlink"/>
            <w:sz w:val="20"/>
            <w:szCs w:val="20"/>
            <w:u w:val="single" w:color="000000"/>
            <w:bdr w:val="nil"/>
            <w:lang w:eastAsia="tr-TR"/>
          </w:rPr>
          <w:t>https://thinktech.stm.com.tr/tr/turk-savunma-sanayiinin-yukselisi-ve-ambargolar-kritik-teknoloji-bilesen-ve-alt-sistemlerde-yerlilesme-ve-millilesme-hamlesi</w:t>
        </w:r>
      </w:hyperlink>
      <w:r w:rsidRPr="00CF3F85">
        <w:rPr>
          <w:rFonts w:ascii="Tahoma" w:eastAsia="Arial Unicode MS" w:hAnsi="Tahoma" w:cs="Tahoma"/>
          <w:bCs/>
          <w:color w:val="000000" w:themeColor="text1"/>
          <w:sz w:val="20"/>
          <w:szCs w:val="20"/>
          <w:u w:color="000000"/>
          <w:bdr w:val="nil"/>
          <w:lang w:eastAsia="tr-TR"/>
        </w:rPr>
        <w:t xml:space="preserve"> </w:t>
      </w: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Arial Unicode MS" w:hAnsi="Tahoma" w:cs="Tahoma"/>
          <w:bCs/>
          <w:color w:val="000000" w:themeColor="text1"/>
          <w:sz w:val="20"/>
          <w:szCs w:val="20"/>
          <w:u w:color="000000"/>
          <w:bdr w:val="nil"/>
          <w:lang w:eastAsia="tr-TR"/>
        </w:rPr>
      </w:pPr>
      <w:r w:rsidRPr="00CF3F85">
        <w:rPr>
          <w:rFonts w:ascii="Tahoma" w:eastAsia="Arial Unicode MS" w:hAnsi="Tahoma" w:cs="Tahoma"/>
          <w:bCs/>
          <w:color w:val="000000" w:themeColor="text1"/>
          <w:sz w:val="20"/>
          <w:szCs w:val="20"/>
          <w:u w:color="000000"/>
          <w:bdr w:val="nil"/>
          <w:lang w:eastAsia="tr-TR"/>
        </w:rPr>
        <w:t xml:space="preserve"> </w:t>
      </w: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Arial Unicode MS" w:hAnsi="Tahoma" w:cs="Tahoma"/>
          <w:b/>
          <w:bCs/>
          <w:i/>
          <w:color w:val="000000" w:themeColor="text1"/>
          <w:sz w:val="18"/>
          <w:szCs w:val="20"/>
          <w:u w:color="000000"/>
          <w:bdr w:val="nil"/>
          <w:lang w:eastAsia="tr-TR"/>
        </w:rPr>
      </w:pPr>
      <w:r w:rsidRPr="00CF3F85">
        <w:rPr>
          <w:rFonts w:ascii="Tahoma" w:eastAsia="Arial Unicode MS" w:hAnsi="Tahoma" w:cs="Tahoma"/>
          <w:b/>
          <w:bCs/>
          <w:i/>
          <w:color w:val="000000" w:themeColor="text1"/>
          <w:sz w:val="18"/>
          <w:szCs w:val="20"/>
          <w:u w:color="000000"/>
          <w:bdr w:val="nil"/>
          <w:lang w:eastAsia="tr-TR"/>
        </w:rPr>
        <w:t>STM ThinkTech Hakkında</w:t>
      </w: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Arial Unicode MS" w:hAnsi="Tahoma" w:cs="Tahoma"/>
          <w:bCs/>
          <w:i/>
          <w:color w:val="000000" w:themeColor="text1"/>
          <w:sz w:val="18"/>
          <w:szCs w:val="20"/>
          <w:u w:color="000000"/>
          <w:bdr w:val="nil"/>
          <w:lang w:eastAsia="tr-TR"/>
        </w:rPr>
      </w:pPr>
      <w:r w:rsidRPr="00CF3F85">
        <w:rPr>
          <w:rFonts w:ascii="Tahoma" w:eastAsia="Arial Unicode MS" w:hAnsi="Tahoma" w:cs="Tahoma"/>
          <w:bCs/>
          <w:i/>
          <w:color w:val="000000" w:themeColor="text1"/>
          <w:sz w:val="18"/>
          <w:szCs w:val="20"/>
          <w:u w:color="000000"/>
          <w:bdr w:val="nil"/>
          <w:lang w:eastAsia="tr-TR"/>
        </w:rPr>
        <w:t xml:space="preserve">Savunma-güvenlik ve mühendislik-teknoloji alanlarında var olan bilgi birikimi ve insan kaynağıyla bölgesel ve küresel stratejiler, teknolojik öngörüler, olası senaryolar ve karar destek sistemleri geliştiriyor. Türkiye’nin gelecek vizyonuna uygulanabilir, düşünsel ve pratik katkılar sunan ThinkTech, başta savunma olmak üzere havacılık, enerji, ulaştırma, eğitim ve sağlık alanlarında objektif bir yaklaşımla teknoloji odaklı analizler ile özgün çözümler geliştiriyor ve veri işleme yeteneğiyle raporlar yayımlıyor. STM ThinkTech, geliştirmekte olduğu öngörüler ve stratejik çözümler için akademisyenler, </w:t>
      </w:r>
      <w:r w:rsidRPr="00CF3F85">
        <w:rPr>
          <w:rFonts w:ascii="Tahoma" w:eastAsia="Arial Unicode MS" w:hAnsi="Tahoma" w:cs="Tahoma"/>
          <w:bCs/>
          <w:i/>
          <w:color w:val="000000" w:themeColor="text1"/>
          <w:sz w:val="18"/>
          <w:szCs w:val="20"/>
          <w:u w:color="000000"/>
          <w:bdr w:val="nil"/>
          <w:lang w:eastAsia="tr-TR"/>
        </w:rPr>
        <w:lastRenderedPageBreak/>
        <w:t>diğer düşünce kuruluşları, üniversiteler, yüksek teknoloji üreten firmalar, kamu kurumları ve karar vericilerle iş birliği içerisinde.</w:t>
      </w:r>
    </w:p>
    <w:p w:rsidR="00CF3F85" w:rsidRPr="00CF3F85" w:rsidRDefault="00CF3F85" w:rsidP="00CF3F85">
      <w:pPr>
        <w:pBdr>
          <w:top w:val="nil"/>
          <w:left w:val="nil"/>
          <w:bottom w:val="nil"/>
          <w:right w:val="nil"/>
          <w:between w:val="nil"/>
          <w:bar w:val="nil"/>
        </w:pBdr>
        <w:suppressAutoHyphens/>
        <w:spacing w:line="276" w:lineRule="auto"/>
        <w:jc w:val="both"/>
        <w:rPr>
          <w:rFonts w:ascii="Tahoma" w:eastAsia="Tahoma" w:hAnsi="Tahoma" w:cs="Tahoma"/>
          <w:b/>
          <w:bCs/>
          <w:i/>
          <w:color w:val="000000" w:themeColor="text1"/>
          <w:sz w:val="18"/>
          <w:szCs w:val="20"/>
          <w:u w:color="000000"/>
          <w:bdr w:val="nil"/>
          <w:lang w:eastAsia="tr-TR"/>
        </w:rPr>
      </w:pPr>
      <w:r w:rsidRPr="00CF3F85">
        <w:rPr>
          <w:rFonts w:ascii="Tahoma" w:eastAsia="Arial Unicode MS" w:hAnsi="Tahoma" w:cs="Tahoma"/>
          <w:b/>
          <w:bCs/>
          <w:i/>
          <w:color w:val="000000" w:themeColor="text1"/>
          <w:sz w:val="18"/>
          <w:szCs w:val="20"/>
          <w:u w:color="000000"/>
          <w:bdr w:val="nil"/>
          <w:lang w:eastAsia="tr-TR"/>
        </w:rPr>
        <w:t>STM Hakkında</w:t>
      </w:r>
    </w:p>
    <w:p w:rsidR="00F3640D" w:rsidRPr="00CF3F85" w:rsidRDefault="00CF3F85" w:rsidP="00CF3F85">
      <w:pPr>
        <w:pBdr>
          <w:top w:val="nil"/>
          <w:left w:val="nil"/>
          <w:bottom w:val="nil"/>
          <w:right w:val="nil"/>
          <w:between w:val="nil"/>
          <w:bar w:val="nil"/>
        </w:pBdr>
        <w:suppressAutoHyphens/>
        <w:spacing w:after="0" w:line="276" w:lineRule="auto"/>
        <w:jc w:val="both"/>
        <w:rPr>
          <w:rFonts w:ascii="Tahoma" w:eastAsia="Tahoma" w:hAnsi="Tahoma" w:cs="Tahoma"/>
          <w:b/>
          <w:bCs/>
          <w:i/>
          <w:color w:val="000000" w:themeColor="text1"/>
          <w:sz w:val="20"/>
          <w:u w:color="000000"/>
          <w:bdr w:val="nil"/>
          <w:lang w:eastAsia="tr-TR"/>
        </w:rPr>
      </w:pPr>
      <w:r w:rsidRPr="00CF3F85">
        <w:rPr>
          <w:rFonts w:ascii="Tahoma" w:eastAsia="Helvetica" w:hAnsi="Tahoma" w:cs="Tahoma"/>
          <w:i/>
          <w:color w:val="000000" w:themeColor="text1"/>
          <w:sz w:val="18"/>
          <w:szCs w:val="20"/>
          <w:u w:color="000000"/>
          <w:bdr w:val="nil"/>
          <w:lang w:eastAsia="tr-TR"/>
        </w:rPr>
        <w:t>Savunma sanayiine mühendislik, teknoloji ve danışmanlık alanlarında çeyrek asırdan uzun bir süredir hizmet veren STM ise,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sectPr w:rsidR="00F3640D" w:rsidRPr="00CF3F85" w:rsidSect="00CF3F85">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EB" w:rsidRDefault="004A0AEB" w:rsidP="00CF3F85">
      <w:pPr>
        <w:spacing w:after="0" w:line="240" w:lineRule="auto"/>
      </w:pPr>
      <w:r>
        <w:separator/>
      </w:r>
    </w:p>
  </w:endnote>
  <w:endnote w:type="continuationSeparator" w:id="0">
    <w:p w:rsidR="004A0AEB" w:rsidRDefault="004A0AEB" w:rsidP="00CF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85" w:rsidRDefault="00CF3F85" w:rsidP="00CF3F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CF3F85" w:rsidP="00CF3F85">
    <w:pPr>
      <w:pStyle w:val="AltBilgi"/>
    </w:pPr>
    <w:bookmarkStart w:id="2" w:name="TITUS1FooterPrimary"/>
    <w:r w:rsidRPr="00CF3F85">
      <w:rPr>
        <w:rFonts w:ascii="Verdana" w:hAnsi="Verdana"/>
        <w:b/>
        <w:color w:val="000000"/>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4A0A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EB" w:rsidRDefault="004A0AEB" w:rsidP="00CF3F85">
      <w:pPr>
        <w:spacing w:after="0" w:line="240" w:lineRule="auto"/>
      </w:pPr>
      <w:r>
        <w:separator/>
      </w:r>
    </w:p>
  </w:footnote>
  <w:footnote w:type="continuationSeparator" w:id="0">
    <w:p w:rsidR="004A0AEB" w:rsidRDefault="004A0AEB" w:rsidP="00CF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85" w:rsidRDefault="00CF3F85" w:rsidP="00CF3F85">
    <w:pPr>
      <w:pStyle w:val="GvdeBAA"/>
    </w:pPr>
    <w:r>
      <w:rPr>
        <w:noProof/>
      </w:rPr>
      <w:drawing>
        <wp:inline distT="0" distB="0" distL="0" distR="0" wp14:anchorId="2EC47CAC" wp14:editId="42EF9938">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85" w:rsidRDefault="00CF3F85" w:rsidP="00CF3F85">
    <w:pPr>
      <w:pStyle w:val="GvdeBAA"/>
    </w:pPr>
    <w:bookmarkStart w:id="1" w:name="TITUS1HeaderPrimary"/>
    <w:r w:rsidRPr="00CF3F85">
      <w:rPr>
        <w:rFonts w:ascii="Verdana" w:hAnsi="Verdana"/>
        <w:b/>
        <w:sz w:val="20"/>
      </w:rPr>
      <w:t>TASNİF DIŞI</w:t>
    </w:r>
  </w:p>
  <w:bookmarkEnd w:id="1"/>
  <w:p w:rsidR="00A72624" w:rsidRDefault="004A0AEB" w:rsidP="00CF3F85">
    <w:pPr>
      <w:pStyle w:val="GvdeBAA"/>
    </w:pPr>
    <w:r>
      <w:rPr>
        <w:noProof/>
      </w:rPr>
      <w:drawing>
        <wp:inline distT="0" distB="0" distL="0" distR="0" wp14:anchorId="432630F0" wp14:editId="2B303B2F">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4A0AEB" w:rsidP="00CF3F85">
    <w:pPr>
      <w:pStyle w:val="GvdeBAA"/>
    </w:pPr>
    <w:r>
      <w:rPr>
        <w:noProof/>
      </w:rPr>
      <w:drawing>
        <wp:inline distT="0" distB="0" distL="0" distR="0" wp14:anchorId="745B454D" wp14:editId="6C7E82E5">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rsidR="00FE1366" w:rsidRDefault="004A0A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343"/>
    <w:multiLevelType w:val="hybridMultilevel"/>
    <w:tmpl w:val="6C883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FE"/>
    <w:rsid w:val="000449E5"/>
    <w:rsid w:val="004A0AEB"/>
    <w:rsid w:val="00CE66FE"/>
    <w:rsid w:val="00CF3F85"/>
    <w:rsid w:val="00F36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1F17"/>
  <w15:chartTrackingRefBased/>
  <w15:docId w15:val="{59D2D8E4-8348-4EC7-BACB-FA5D8C61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F3F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3F85"/>
  </w:style>
  <w:style w:type="paragraph" w:customStyle="1" w:styleId="GvdeBAA">
    <w:name w:val="Gövde B A A"/>
    <w:rsid w:val="00CF3F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stBilgi">
    <w:name w:val="header"/>
    <w:basedOn w:val="Normal"/>
    <w:link w:val="stBilgiChar"/>
    <w:uiPriority w:val="99"/>
    <w:unhideWhenUsed/>
    <w:rsid w:val="00CF3F85"/>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lang w:val="en-US"/>
    </w:rPr>
  </w:style>
  <w:style w:type="character" w:customStyle="1" w:styleId="stBilgiChar">
    <w:name w:val="Üst Bilgi Char"/>
    <w:basedOn w:val="VarsaylanParagrafYazTipi"/>
    <w:link w:val="stBilgi"/>
    <w:uiPriority w:val="99"/>
    <w:rsid w:val="00CF3F85"/>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hinktech.stm.com.tr/tr/turk-savunma-sanayiinin-yukselisi-ve-ambargolar-kritik-teknoloji-bilesen-ve-alt-sistemlerde-yerlilesme-ve-millilesme-hamle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3493</Characters>
  <Application>Microsoft Office Word</Application>
  <DocSecurity>0</DocSecurity>
  <Lines>52</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3</cp:revision>
  <dcterms:created xsi:type="dcterms:W3CDTF">2021-12-27T08:54:00Z</dcterms:created>
  <dcterms:modified xsi:type="dcterms:W3CDTF">2021-12-27T08:59:00Z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6dfae8b9-8012-416a-b164-a279155bb696</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