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F85" w:rsidRPr="00CF3F85" w:rsidRDefault="00CF3F85" w:rsidP="00CF3F85">
      <w:pPr>
        <w:pBdr>
          <w:top w:val="nil"/>
          <w:left w:val="nil"/>
          <w:bottom w:val="nil"/>
          <w:right w:val="nil"/>
          <w:between w:val="nil"/>
          <w:bar w:val="nil"/>
        </w:pBdr>
        <w:spacing w:after="150" w:line="240" w:lineRule="auto"/>
        <w:rPr>
          <w:rFonts w:ascii="Tahoma" w:eastAsia="Tahoma" w:hAnsi="Tahoma" w:cs="Tahoma"/>
          <w:b/>
          <w:bCs/>
          <w:color w:val="000000" w:themeColor="text1"/>
          <w:u w:color="000000"/>
          <w:bdr w:val="nil"/>
          <w:lang w:eastAsia="tr-TR"/>
        </w:rPr>
      </w:pPr>
      <w:r w:rsidRPr="00CF3F85">
        <w:rPr>
          <w:rFonts w:ascii="Tahoma" w:eastAsia="Arial Unicode MS" w:hAnsi="Tahoma" w:cs="Arial Unicode MS"/>
          <w:b/>
          <w:bCs/>
          <w:noProof/>
          <w:color w:val="000000" w:themeColor="text1"/>
          <w:u w:color="000000"/>
          <w:bdr w:val="nil"/>
          <w:lang w:eastAsia="tr-TR"/>
        </w:rPr>
        <mc:AlternateContent>
          <mc:Choice Requires="wps">
            <w:drawing>
              <wp:anchor distT="0" distB="0" distL="0" distR="0" simplePos="0" relativeHeight="251659264" behindDoc="0" locked="0" layoutInCell="1" allowOverlap="1" wp14:anchorId="2630DC2C" wp14:editId="3B7B464C">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6BDC4F6A"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CF3F85">
        <w:rPr>
          <w:rFonts w:ascii="Tahoma" w:eastAsia="Arial Unicode MS" w:hAnsi="Tahoma" w:cs="Arial Unicode MS"/>
          <w:b/>
          <w:bCs/>
          <w:color w:val="000000" w:themeColor="text1"/>
          <w:u w:color="000000"/>
          <w:bdr w:val="nil"/>
          <w:lang w:eastAsia="tr-TR"/>
        </w:rPr>
        <w:t>Basın Bülteni                                                                                                   Aralık 2021</w:t>
      </w:r>
    </w:p>
    <w:p w:rsidR="000449E5" w:rsidRDefault="000449E5" w:rsidP="00CF3F85">
      <w:pPr>
        <w:pBdr>
          <w:top w:val="nil"/>
          <w:left w:val="nil"/>
          <w:bottom w:val="nil"/>
          <w:right w:val="nil"/>
          <w:between w:val="nil"/>
          <w:bar w:val="nil"/>
        </w:pBdr>
        <w:suppressAutoHyphens/>
        <w:spacing w:line="276" w:lineRule="auto"/>
        <w:jc w:val="center"/>
        <w:rPr>
          <w:rFonts w:ascii="Tahoma" w:eastAsia="Arial Unicode MS" w:hAnsi="Tahoma" w:cs="Tahoma"/>
          <w:b/>
          <w:bCs/>
          <w:color w:val="000000" w:themeColor="text1"/>
          <w:sz w:val="24"/>
          <w:szCs w:val="20"/>
          <w:u w:color="000000"/>
          <w:bdr w:val="nil"/>
          <w:lang w:eastAsia="tr-TR"/>
        </w:rPr>
      </w:pPr>
    </w:p>
    <w:p w:rsidR="00CF3F85" w:rsidRPr="00CF3F85" w:rsidRDefault="00CF3F85" w:rsidP="00CF3F85">
      <w:pPr>
        <w:pBdr>
          <w:top w:val="nil"/>
          <w:left w:val="nil"/>
          <w:bottom w:val="nil"/>
          <w:right w:val="nil"/>
          <w:between w:val="nil"/>
          <w:bar w:val="nil"/>
        </w:pBdr>
        <w:suppressAutoHyphens/>
        <w:spacing w:line="276" w:lineRule="auto"/>
        <w:jc w:val="center"/>
        <w:rPr>
          <w:rFonts w:ascii="Tahoma" w:eastAsia="Arial Unicode MS" w:hAnsi="Tahoma" w:cs="Tahoma"/>
          <w:b/>
          <w:bCs/>
          <w:color w:val="000000" w:themeColor="text1"/>
          <w:sz w:val="24"/>
          <w:szCs w:val="20"/>
          <w:u w:color="000000"/>
          <w:bdr w:val="nil"/>
          <w:lang w:eastAsia="tr-TR"/>
        </w:rPr>
      </w:pPr>
      <w:r w:rsidRPr="00CF3F85">
        <w:rPr>
          <w:rFonts w:ascii="Tahoma" w:eastAsia="Arial Unicode MS" w:hAnsi="Tahoma" w:cs="Tahoma"/>
          <w:b/>
          <w:bCs/>
          <w:color w:val="000000" w:themeColor="text1"/>
          <w:sz w:val="24"/>
          <w:szCs w:val="20"/>
          <w:u w:color="000000"/>
          <w:bdr w:val="nil"/>
          <w:lang w:eastAsia="tr-TR"/>
        </w:rPr>
        <w:t>STM THINKTECH’İN İKİNCİ KİTABI YAYINDA:</w:t>
      </w:r>
    </w:p>
    <w:p w:rsidR="00CF3F85" w:rsidRPr="00CF3F85" w:rsidRDefault="00CF3F85" w:rsidP="00CF3F85">
      <w:pPr>
        <w:pBdr>
          <w:top w:val="nil"/>
          <w:left w:val="nil"/>
          <w:bottom w:val="nil"/>
          <w:right w:val="nil"/>
          <w:between w:val="nil"/>
          <w:bar w:val="nil"/>
        </w:pBdr>
        <w:suppressAutoHyphens/>
        <w:spacing w:line="276" w:lineRule="auto"/>
        <w:jc w:val="center"/>
        <w:rPr>
          <w:rFonts w:ascii="Tahoma" w:eastAsia="Arial Unicode MS" w:hAnsi="Tahoma" w:cs="Tahoma"/>
          <w:b/>
          <w:bCs/>
          <w:color w:val="000000" w:themeColor="text1"/>
          <w:sz w:val="24"/>
          <w:szCs w:val="20"/>
          <w:u w:color="000000"/>
          <w:bdr w:val="nil"/>
          <w:lang w:eastAsia="tr-TR"/>
        </w:rPr>
      </w:pPr>
      <w:r w:rsidRPr="00CF3F85">
        <w:rPr>
          <w:rFonts w:ascii="Tahoma" w:eastAsia="Arial Unicode MS" w:hAnsi="Tahoma" w:cs="Tahoma"/>
          <w:b/>
          <w:bCs/>
          <w:color w:val="000000" w:themeColor="text1"/>
          <w:sz w:val="24"/>
          <w:szCs w:val="20"/>
          <w:u w:color="000000"/>
          <w:bdr w:val="nil"/>
          <w:lang w:eastAsia="tr-TR"/>
        </w:rPr>
        <w:t>TÜRK SAVUNM</w:t>
      </w:r>
      <w:bookmarkStart w:id="0" w:name="_GoBack"/>
      <w:bookmarkEnd w:id="0"/>
      <w:r w:rsidRPr="00CF3F85">
        <w:rPr>
          <w:rFonts w:ascii="Tahoma" w:eastAsia="Arial Unicode MS" w:hAnsi="Tahoma" w:cs="Tahoma"/>
          <w:b/>
          <w:bCs/>
          <w:color w:val="000000" w:themeColor="text1"/>
          <w:sz w:val="24"/>
          <w:szCs w:val="20"/>
          <w:u w:color="000000"/>
          <w:bdr w:val="nil"/>
          <w:lang w:eastAsia="tr-TR"/>
        </w:rPr>
        <w:t>A SANAYİİNİN YÜKSELİŞİ VE AMBARGOLAR</w:t>
      </w:r>
    </w:p>
    <w:p w:rsidR="00CF3F85" w:rsidRPr="00CF3F85" w:rsidRDefault="00CF3F85" w:rsidP="00CF3F85">
      <w:pPr>
        <w:pBdr>
          <w:top w:val="nil"/>
          <w:left w:val="nil"/>
          <w:bottom w:val="nil"/>
          <w:right w:val="nil"/>
          <w:between w:val="nil"/>
          <w:bar w:val="nil"/>
        </w:pBdr>
        <w:suppressAutoHyphens/>
        <w:spacing w:line="276" w:lineRule="auto"/>
        <w:jc w:val="center"/>
        <w:rPr>
          <w:rFonts w:ascii="Tahoma" w:eastAsia="Arial Unicode MS" w:hAnsi="Tahoma" w:cs="Tahoma"/>
          <w:bCs/>
          <w:i/>
          <w:color w:val="000000" w:themeColor="text1"/>
          <w:u w:color="000000"/>
          <w:bdr w:val="nil"/>
          <w:lang w:eastAsia="tr-TR"/>
        </w:rPr>
      </w:pPr>
      <w:r w:rsidRPr="00CF3F85">
        <w:rPr>
          <w:rFonts w:ascii="Tahoma" w:eastAsia="Arial Unicode MS" w:hAnsi="Tahoma" w:cs="Tahoma"/>
          <w:bCs/>
          <w:i/>
          <w:color w:val="000000" w:themeColor="text1"/>
          <w:u w:color="000000"/>
          <w:bdr w:val="nil"/>
          <w:lang w:eastAsia="tr-TR"/>
        </w:rPr>
        <w:t>Türkiye’nin teknoloji odaklı ilk düşünce merkezi STM ThinkTech, “Türk Savunma Sanayiinin Yükselişi ve Ambargolar/Kritik Teknoloji, Bileşen ve Alt Sistemlerde Yerlileşme ve Millileşme Hamlesi” isimli kitabını yayımladı.</w:t>
      </w:r>
    </w:p>
    <w:p w:rsidR="00CF3F85" w:rsidRPr="00CF3F85" w:rsidRDefault="00CF3F85" w:rsidP="00CF3F85">
      <w:pPr>
        <w:pBdr>
          <w:top w:val="nil"/>
          <w:left w:val="nil"/>
          <w:bottom w:val="nil"/>
          <w:right w:val="nil"/>
          <w:between w:val="nil"/>
          <w:bar w:val="nil"/>
        </w:pBdr>
        <w:suppressAutoHyphens/>
        <w:spacing w:line="276" w:lineRule="auto"/>
        <w:jc w:val="center"/>
        <w:rPr>
          <w:rFonts w:ascii="Tahoma" w:eastAsia="Arial Unicode MS" w:hAnsi="Tahoma" w:cs="Tahoma"/>
          <w:bCs/>
          <w:i/>
          <w:color w:val="000000" w:themeColor="text1"/>
          <w:u w:color="000000"/>
          <w:bdr w:val="nil"/>
          <w:lang w:eastAsia="tr-TR"/>
        </w:rPr>
      </w:pPr>
      <w:r w:rsidRPr="00CF3F85">
        <w:rPr>
          <w:rFonts w:ascii="Tahoma" w:eastAsia="Arial Unicode MS" w:hAnsi="Tahoma" w:cs="Tahoma"/>
          <w:bCs/>
          <w:i/>
          <w:color w:val="000000" w:themeColor="text1"/>
          <w:u w:color="000000"/>
          <w:bdr w:val="nil"/>
          <w:lang w:eastAsia="tr-TR"/>
        </w:rPr>
        <w:t xml:space="preserve">Alanında uzman 23 ismin görüşlerini paylaştığı kitapta, Türk savunma sanayiinin ambargolara karşı attığı adımlar, yerli ve milli teknoloji hamlesiyle elde edilen başarılar ve savunma sanayinin geleceği ele alındı.  </w:t>
      </w:r>
    </w:p>
    <w:p w:rsidR="00CF3F85" w:rsidRPr="00CF3F85" w:rsidRDefault="00CF3F85" w:rsidP="00CF3F85">
      <w:pPr>
        <w:pBdr>
          <w:top w:val="nil"/>
          <w:left w:val="nil"/>
          <w:bottom w:val="nil"/>
          <w:right w:val="nil"/>
          <w:between w:val="nil"/>
          <w:bar w:val="nil"/>
        </w:pBdr>
        <w:suppressAutoHyphens/>
        <w:spacing w:line="276" w:lineRule="auto"/>
        <w:jc w:val="both"/>
        <w:rPr>
          <w:rFonts w:ascii="Tahoma" w:eastAsia="Arial Unicode MS" w:hAnsi="Tahoma" w:cs="Tahoma"/>
          <w:bCs/>
          <w:color w:val="000000" w:themeColor="text1"/>
          <w:sz w:val="20"/>
          <w:szCs w:val="20"/>
          <w:u w:color="000000"/>
          <w:bdr w:val="nil"/>
          <w:lang w:eastAsia="tr-TR"/>
        </w:rPr>
      </w:pPr>
      <w:r w:rsidRPr="00CF3F85">
        <w:rPr>
          <w:rFonts w:ascii="Tahoma" w:eastAsia="Arial Unicode MS" w:hAnsi="Tahoma" w:cs="Tahoma"/>
          <w:bCs/>
          <w:color w:val="000000" w:themeColor="text1"/>
          <w:sz w:val="20"/>
          <w:szCs w:val="20"/>
          <w:u w:color="000000"/>
          <w:bdr w:val="nil"/>
          <w:lang w:eastAsia="tr-TR"/>
        </w:rPr>
        <w:t xml:space="preserve">Türk savunma sanayii için yol gösterici nitelikte karar desteğine, analiz ve araştırmalara imza atan STM ThinkTech, basılı yayın hayatının ikinci kitabını okurlarla buluşturdu. Savunma ve güvenlik temalarını, alanında duayen katılımcılarla, panel ve odak toplantılarında masaya yatıran STM ThinkTech, Türk savunma sanayiine uygulanan ambargolar ve etkilerinin ele alındığı iki önemli odak toplantı gerçekleştirdi. </w:t>
      </w:r>
    </w:p>
    <w:p w:rsidR="00CF3F85" w:rsidRPr="00CF3F85" w:rsidRDefault="00CF3F85" w:rsidP="00CF3F85">
      <w:pPr>
        <w:pBdr>
          <w:top w:val="nil"/>
          <w:left w:val="nil"/>
          <w:bottom w:val="nil"/>
          <w:right w:val="nil"/>
          <w:between w:val="nil"/>
          <w:bar w:val="nil"/>
        </w:pBdr>
        <w:suppressAutoHyphens/>
        <w:spacing w:line="276" w:lineRule="auto"/>
        <w:jc w:val="both"/>
        <w:rPr>
          <w:rFonts w:ascii="Tahoma" w:eastAsia="Arial Unicode MS" w:hAnsi="Tahoma" w:cs="Tahoma"/>
          <w:bCs/>
          <w:color w:val="000000" w:themeColor="text1"/>
          <w:sz w:val="20"/>
          <w:szCs w:val="20"/>
          <w:u w:color="000000"/>
          <w:bdr w:val="nil"/>
          <w:lang w:eastAsia="tr-TR"/>
        </w:rPr>
      </w:pPr>
      <w:r w:rsidRPr="00CF3F85">
        <w:rPr>
          <w:rFonts w:ascii="Tahoma" w:eastAsia="Arial Unicode MS" w:hAnsi="Tahoma" w:cs="Tahoma"/>
          <w:bCs/>
          <w:color w:val="000000" w:themeColor="text1"/>
          <w:sz w:val="20"/>
          <w:szCs w:val="20"/>
          <w:u w:color="000000"/>
          <w:bdr w:val="nil"/>
          <w:lang w:eastAsia="tr-TR"/>
        </w:rPr>
        <w:t>“Olası Bir Ambargo Durumuna Hazırlık Kapsamında Geliştirilmesi Gereken Kritik Teknoloji, Bileşen ve Alt Sistemler” ve “Savunma Sanayiinde Kısıtlamalar ve Ambargolar Çerçevesinde Yerlileşme ve Millileşme” başlıklı düzenlenen toplantılarda, başta savunma sanayii olmak üzere Türkiye’nin önemli kurumlarında görev yapan 23 uzman bir araya geldi.</w:t>
      </w:r>
    </w:p>
    <w:p w:rsidR="00CF3F85" w:rsidRPr="00CF3F85" w:rsidRDefault="00CF3F85" w:rsidP="00CF3F85">
      <w:pPr>
        <w:pBdr>
          <w:top w:val="nil"/>
          <w:left w:val="nil"/>
          <w:bottom w:val="nil"/>
          <w:right w:val="nil"/>
          <w:between w:val="nil"/>
          <w:bar w:val="nil"/>
        </w:pBdr>
        <w:suppressAutoHyphens/>
        <w:spacing w:line="276" w:lineRule="auto"/>
        <w:jc w:val="both"/>
        <w:rPr>
          <w:rFonts w:ascii="Tahoma" w:eastAsia="Arial Unicode MS" w:hAnsi="Tahoma" w:cs="Tahoma"/>
          <w:bCs/>
          <w:color w:val="000000" w:themeColor="text1"/>
          <w:sz w:val="20"/>
          <w:szCs w:val="20"/>
          <w:u w:color="000000"/>
          <w:bdr w:val="nil"/>
          <w:lang w:eastAsia="tr-TR"/>
        </w:rPr>
      </w:pPr>
      <w:r w:rsidRPr="00CF3F85">
        <w:rPr>
          <w:rFonts w:ascii="Tahoma" w:eastAsia="Arial Unicode MS" w:hAnsi="Tahoma" w:cs="Tahoma"/>
          <w:bCs/>
          <w:color w:val="000000" w:themeColor="text1"/>
          <w:sz w:val="20"/>
          <w:szCs w:val="20"/>
          <w:u w:color="000000"/>
          <w:bdr w:val="nil"/>
          <w:lang w:eastAsia="tr-TR"/>
        </w:rPr>
        <w:t xml:space="preserve">Türkiye’nin gelecekte başka devletlerin ambargo, yaptırım, kısıtlama ve tehditlerine maruz kalmayan bir ülkeye dönüşmesi için ne gibi strateji ve yaklaşımlar izlemesi gerektiğinin detayları bu iki toplantıda mercek altına alındı. Ambargolar ve milli savunma sanayii hamlesinin ele alındığı toplantıda ortaya çıkan görüşler derlenerek, </w:t>
      </w:r>
      <w:r w:rsidRPr="00CF3F85">
        <w:rPr>
          <w:rFonts w:ascii="Tahoma" w:eastAsia="Arial Unicode MS" w:hAnsi="Tahoma" w:cs="Tahoma"/>
          <w:b/>
          <w:bCs/>
          <w:i/>
          <w:color w:val="000000" w:themeColor="text1"/>
          <w:sz w:val="20"/>
          <w:szCs w:val="20"/>
          <w:u w:color="000000"/>
          <w:bdr w:val="nil"/>
          <w:lang w:eastAsia="tr-TR"/>
        </w:rPr>
        <w:t>“Türk Savunma Sanayiinin Yükselişi ve Ambargolar / Kritik Teknoloji, Bileşen ve Alt Sistemlerde Yerlileşme ve Millileşme Hamlesi”</w:t>
      </w:r>
      <w:r w:rsidRPr="00CF3F85">
        <w:rPr>
          <w:rFonts w:ascii="Tahoma" w:eastAsia="Arial Unicode MS" w:hAnsi="Tahoma" w:cs="Tahoma"/>
          <w:bCs/>
          <w:color w:val="000000" w:themeColor="text1"/>
          <w:sz w:val="20"/>
          <w:szCs w:val="20"/>
          <w:u w:color="000000"/>
          <w:bdr w:val="nil"/>
          <w:lang w:eastAsia="tr-TR"/>
        </w:rPr>
        <w:t xml:space="preserve"> başlıklı kitapta toplandı.</w:t>
      </w:r>
    </w:p>
    <w:p w:rsidR="00CF3F85" w:rsidRPr="00CF3F85" w:rsidRDefault="00CF3F85" w:rsidP="00CF3F85">
      <w:pPr>
        <w:pBdr>
          <w:top w:val="nil"/>
          <w:left w:val="nil"/>
          <w:bottom w:val="nil"/>
          <w:right w:val="nil"/>
          <w:between w:val="nil"/>
          <w:bar w:val="nil"/>
        </w:pBdr>
        <w:suppressAutoHyphens/>
        <w:spacing w:line="276" w:lineRule="auto"/>
        <w:jc w:val="both"/>
        <w:rPr>
          <w:rFonts w:ascii="Tahoma" w:eastAsia="Arial Unicode MS" w:hAnsi="Tahoma" w:cs="Tahoma"/>
          <w:b/>
          <w:bCs/>
          <w:color w:val="000000" w:themeColor="text1"/>
          <w:sz w:val="20"/>
          <w:szCs w:val="20"/>
          <w:u w:color="000000"/>
          <w:bdr w:val="nil"/>
          <w:lang w:eastAsia="tr-TR"/>
        </w:rPr>
      </w:pPr>
      <w:r w:rsidRPr="00CF3F85">
        <w:rPr>
          <w:rFonts w:ascii="Tahoma" w:eastAsia="Arial Unicode MS" w:hAnsi="Tahoma" w:cs="Tahoma"/>
          <w:b/>
          <w:bCs/>
          <w:color w:val="000000" w:themeColor="text1"/>
          <w:sz w:val="20"/>
          <w:szCs w:val="20"/>
          <w:u w:color="000000"/>
          <w:bdr w:val="nil"/>
          <w:lang w:eastAsia="tr-TR"/>
        </w:rPr>
        <w:t xml:space="preserve"> Türk savunma sanayii ambargolara karşı hangi adımları attı?</w:t>
      </w:r>
    </w:p>
    <w:p w:rsidR="00CF3F85" w:rsidRPr="00CF3F85" w:rsidRDefault="00CF3F85" w:rsidP="00CF3F85">
      <w:pPr>
        <w:pBdr>
          <w:top w:val="nil"/>
          <w:left w:val="nil"/>
          <w:bottom w:val="nil"/>
          <w:right w:val="nil"/>
          <w:between w:val="nil"/>
          <w:bar w:val="nil"/>
        </w:pBdr>
        <w:suppressAutoHyphens/>
        <w:spacing w:line="276" w:lineRule="auto"/>
        <w:jc w:val="both"/>
        <w:rPr>
          <w:rFonts w:ascii="Tahoma" w:eastAsia="Arial Unicode MS" w:hAnsi="Tahoma" w:cs="Tahoma"/>
          <w:bCs/>
          <w:color w:val="000000" w:themeColor="text1"/>
          <w:sz w:val="20"/>
          <w:szCs w:val="20"/>
          <w:u w:color="000000"/>
          <w:bdr w:val="nil"/>
          <w:lang w:eastAsia="tr-TR"/>
        </w:rPr>
      </w:pPr>
      <w:r w:rsidRPr="00CF3F85">
        <w:rPr>
          <w:rFonts w:ascii="Tahoma" w:eastAsia="Arial Unicode MS" w:hAnsi="Tahoma" w:cs="Tahoma"/>
          <w:bCs/>
          <w:color w:val="000000" w:themeColor="text1"/>
          <w:sz w:val="20"/>
          <w:szCs w:val="20"/>
          <w:u w:color="000000"/>
          <w:bdr w:val="nil"/>
          <w:lang w:eastAsia="tr-TR"/>
        </w:rPr>
        <w:t>Beş ayrı bölümden oluşan eserde şu konu başlıkları ele alınıyor:</w:t>
      </w:r>
    </w:p>
    <w:p w:rsidR="00CF3F85" w:rsidRPr="00CF3F85" w:rsidRDefault="00CF3F85" w:rsidP="00CF3F85">
      <w:pPr>
        <w:numPr>
          <w:ilvl w:val="0"/>
          <w:numId w:val="1"/>
        </w:numPr>
        <w:pBdr>
          <w:top w:val="nil"/>
          <w:left w:val="nil"/>
          <w:bottom w:val="nil"/>
          <w:right w:val="nil"/>
          <w:between w:val="nil"/>
          <w:bar w:val="nil"/>
        </w:pBdr>
        <w:suppressAutoHyphens/>
        <w:spacing w:after="0" w:line="276" w:lineRule="auto"/>
        <w:jc w:val="both"/>
        <w:rPr>
          <w:rFonts w:ascii="Tahoma" w:eastAsia="Arial Unicode MS" w:hAnsi="Tahoma" w:cs="Tahoma"/>
          <w:bCs/>
          <w:color w:val="000000" w:themeColor="text1"/>
          <w:sz w:val="20"/>
          <w:szCs w:val="20"/>
          <w:u w:color="000000"/>
          <w:bdr w:val="nil"/>
          <w:lang w:eastAsia="tr-TR"/>
        </w:rPr>
      </w:pPr>
      <w:r w:rsidRPr="00CF3F85">
        <w:rPr>
          <w:rFonts w:ascii="Tahoma" w:eastAsia="Arial Unicode MS" w:hAnsi="Tahoma" w:cs="Tahoma"/>
          <w:bCs/>
          <w:color w:val="000000" w:themeColor="text1"/>
          <w:sz w:val="20"/>
          <w:szCs w:val="20"/>
          <w:u w:color="000000"/>
          <w:bdr w:val="nil"/>
          <w:lang w:eastAsia="tr-TR"/>
        </w:rPr>
        <w:t>Uluslararası İlişkiler Açısından Ambargolar</w:t>
      </w:r>
    </w:p>
    <w:p w:rsidR="00CF3F85" w:rsidRPr="00CF3F85" w:rsidRDefault="00CF3F85" w:rsidP="00CF3F85">
      <w:pPr>
        <w:numPr>
          <w:ilvl w:val="0"/>
          <w:numId w:val="1"/>
        </w:numPr>
        <w:pBdr>
          <w:top w:val="nil"/>
          <w:left w:val="nil"/>
          <w:bottom w:val="nil"/>
          <w:right w:val="nil"/>
          <w:between w:val="nil"/>
          <w:bar w:val="nil"/>
        </w:pBdr>
        <w:suppressAutoHyphens/>
        <w:spacing w:after="0" w:line="276" w:lineRule="auto"/>
        <w:jc w:val="both"/>
        <w:rPr>
          <w:rFonts w:ascii="Tahoma" w:eastAsia="Arial Unicode MS" w:hAnsi="Tahoma" w:cs="Tahoma"/>
          <w:bCs/>
          <w:color w:val="000000" w:themeColor="text1"/>
          <w:sz w:val="20"/>
          <w:szCs w:val="20"/>
          <w:u w:color="000000"/>
          <w:bdr w:val="nil"/>
          <w:lang w:eastAsia="tr-TR"/>
        </w:rPr>
      </w:pPr>
      <w:r w:rsidRPr="00CF3F85">
        <w:rPr>
          <w:rFonts w:ascii="Tahoma" w:eastAsia="Arial Unicode MS" w:hAnsi="Tahoma" w:cs="Tahoma"/>
          <w:bCs/>
          <w:color w:val="000000" w:themeColor="text1"/>
          <w:sz w:val="20"/>
          <w:szCs w:val="20"/>
          <w:u w:color="000000"/>
          <w:bdr w:val="nil"/>
          <w:lang w:eastAsia="tr-TR"/>
        </w:rPr>
        <w:t>Caatsa Yaptırımları Sonucunda Türk Savunma Sanayiinde Yaşanan Sıkıntılar</w:t>
      </w:r>
    </w:p>
    <w:p w:rsidR="00CF3F85" w:rsidRPr="00CF3F85" w:rsidRDefault="00CF3F85" w:rsidP="00CF3F85">
      <w:pPr>
        <w:numPr>
          <w:ilvl w:val="0"/>
          <w:numId w:val="1"/>
        </w:numPr>
        <w:pBdr>
          <w:top w:val="nil"/>
          <w:left w:val="nil"/>
          <w:bottom w:val="nil"/>
          <w:right w:val="nil"/>
          <w:between w:val="nil"/>
          <w:bar w:val="nil"/>
        </w:pBdr>
        <w:suppressAutoHyphens/>
        <w:spacing w:after="0" w:line="276" w:lineRule="auto"/>
        <w:jc w:val="both"/>
        <w:rPr>
          <w:rFonts w:ascii="Tahoma" w:eastAsia="Arial Unicode MS" w:hAnsi="Tahoma" w:cs="Tahoma"/>
          <w:bCs/>
          <w:color w:val="000000" w:themeColor="text1"/>
          <w:sz w:val="20"/>
          <w:szCs w:val="20"/>
          <w:u w:color="000000"/>
          <w:bdr w:val="nil"/>
          <w:lang w:eastAsia="tr-TR"/>
        </w:rPr>
      </w:pPr>
      <w:r w:rsidRPr="00CF3F85">
        <w:rPr>
          <w:rFonts w:ascii="Tahoma" w:eastAsia="Arial Unicode MS" w:hAnsi="Tahoma" w:cs="Tahoma"/>
          <w:bCs/>
          <w:color w:val="000000" w:themeColor="text1"/>
          <w:sz w:val="20"/>
          <w:szCs w:val="20"/>
          <w:u w:color="000000"/>
          <w:bdr w:val="nil"/>
          <w:lang w:eastAsia="tr-TR"/>
        </w:rPr>
        <w:t>Sorunlar ve Çözüm Önerileri: Ambargolara Karşı Neler Yapılabilir?</w:t>
      </w:r>
    </w:p>
    <w:p w:rsidR="00CF3F85" w:rsidRPr="00CF3F85" w:rsidRDefault="00CF3F85" w:rsidP="00CF3F85">
      <w:pPr>
        <w:numPr>
          <w:ilvl w:val="0"/>
          <w:numId w:val="1"/>
        </w:numPr>
        <w:pBdr>
          <w:top w:val="nil"/>
          <w:left w:val="nil"/>
          <w:bottom w:val="nil"/>
          <w:right w:val="nil"/>
          <w:between w:val="nil"/>
          <w:bar w:val="nil"/>
        </w:pBdr>
        <w:suppressAutoHyphens/>
        <w:spacing w:after="0" w:line="276" w:lineRule="auto"/>
        <w:jc w:val="both"/>
        <w:rPr>
          <w:rFonts w:ascii="Tahoma" w:eastAsia="Arial Unicode MS" w:hAnsi="Tahoma" w:cs="Tahoma"/>
          <w:bCs/>
          <w:color w:val="000000" w:themeColor="text1"/>
          <w:sz w:val="20"/>
          <w:szCs w:val="20"/>
          <w:u w:color="000000"/>
          <w:bdr w:val="nil"/>
          <w:lang w:eastAsia="tr-TR"/>
        </w:rPr>
      </w:pPr>
      <w:r w:rsidRPr="00CF3F85">
        <w:rPr>
          <w:rFonts w:ascii="Tahoma" w:eastAsia="Arial Unicode MS" w:hAnsi="Tahoma" w:cs="Tahoma"/>
          <w:bCs/>
          <w:color w:val="000000" w:themeColor="text1"/>
          <w:sz w:val="20"/>
          <w:szCs w:val="20"/>
          <w:u w:color="000000"/>
          <w:bdr w:val="nil"/>
          <w:lang w:eastAsia="tr-TR"/>
        </w:rPr>
        <w:t xml:space="preserve">Ambargoya Yanıt: Yerli ve Milli Bir Savunma Sanayii </w:t>
      </w:r>
    </w:p>
    <w:p w:rsidR="00CF3F85" w:rsidRPr="00CF3F85" w:rsidRDefault="00CF3F85" w:rsidP="00CF3F85">
      <w:pPr>
        <w:numPr>
          <w:ilvl w:val="0"/>
          <w:numId w:val="1"/>
        </w:numPr>
        <w:pBdr>
          <w:top w:val="nil"/>
          <w:left w:val="nil"/>
          <w:bottom w:val="nil"/>
          <w:right w:val="nil"/>
          <w:between w:val="nil"/>
          <w:bar w:val="nil"/>
        </w:pBdr>
        <w:suppressAutoHyphens/>
        <w:spacing w:after="0" w:line="276" w:lineRule="auto"/>
        <w:jc w:val="both"/>
        <w:rPr>
          <w:rFonts w:ascii="Tahoma" w:eastAsia="Arial Unicode MS" w:hAnsi="Tahoma" w:cs="Tahoma"/>
          <w:b/>
          <w:bCs/>
          <w:color w:val="000000" w:themeColor="text1"/>
          <w:sz w:val="20"/>
          <w:szCs w:val="20"/>
          <w:u w:color="000000"/>
          <w:bdr w:val="nil"/>
          <w:lang w:eastAsia="tr-TR"/>
        </w:rPr>
      </w:pPr>
      <w:r w:rsidRPr="00CF3F85">
        <w:rPr>
          <w:rFonts w:ascii="Tahoma" w:eastAsia="Arial Unicode MS" w:hAnsi="Tahoma" w:cs="Tahoma"/>
          <w:bCs/>
          <w:color w:val="000000" w:themeColor="text1"/>
          <w:sz w:val="20"/>
          <w:szCs w:val="20"/>
          <w:u w:color="000000"/>
          <w:bdr w:val="nil"/>
          <w:lang w:eastAsia="tr-TR"/>
        </w:rPr>
        <w:t>Yerli ve Milli Savunma S</w:t>
      </w:r>
      <w:r>
        <w:rPr>
          <w:rFonts w:ascii="Tahoma" w:eastAsia="Arial Unicode MS" w:hAnsi="Tahoma" w:cs="Tahoma"/>
          <w:bCs/>
          <w:color w:val="000000" w:themeColor="text1"/>
          <w:sz w:val="20"/>
          <w:szCs w:val="20"/>
          <w:u w:color="000000"/>
          <w:bdr w:val="nil"/>
          <w:lang w:eastAsia="tr-TR"/>
        </w:rPr>
        <w:t>anayii Hamlesi İle Başarılanlar</w:t>
      </w:r>
    </w:p>
    <w:p w:rsidR="00CF3F85" w:rsidRPr="00CF3F85" w:rsidRDefault="00CF3F85" w:rsidP="00CF3F85">
      <w:pPr>
        <w:pBdr>
          <w:top w:val="nil"/>
          <w:left w:val="nil"/>
          <w:bottom w:val="nil"/>
          <w:right w:val="nil"/>
          <w:between w:val="nil"/>
          <w:bar w:val="nil"/>
        </w:pBdr>
        <w:suppressAutoHyphens/>
        <w:spacing w:after="0" w:line="276" w:lineRule="auto"/>
        <w:jc w:val="both"/>
        <w:rPr>
          <w:rFonts w:ascii="Tahoma" w:eastAsia="Arial Unicode MS" w:hAnsi="Tahoma" w:cs="Tahoma"/>
          <w:b/>
          <w:bCs/>
          <w:color w:val="000000" w:themeColor="text1"/>
          <w:sz w:val="20"/>
          <w:szCs w:val="20"/>
          <w:u w:color="000000"/>
          <w:bdr w:val="nil"/>
          <w:lang w:eastAsia="tr-TR"/>
        </w:rPr>
      </w:pPr>
    </w:p>
    <w:p w:rsidR="00CF3F85" w:rsidRPr="00CF3F85" w:rsidRDefault="00CF3F85" w:rsidP="00CF3F85">
      <w:pPr>
        <w:pBdr>
          <w:top w:val="nil"/>
          <w:left w:val="nil"/>
          <w:bottom w:val="nil"/>
          <w:right w:val="nil"/>
          <w:between w:val="nil"/>
          <w:bar w:val="nil"/>
        </w:pBdr>
        <w:suppressAutoHyphens/>
        <w:spacing w:line="276" w:lineRule="auto"/>
        <w:jc w:val="both"/>
        <w:rPr>
          <w:rFonts w:ascii="Tahoma" w:eastAsia="Arial Unicode MS" w:hAnsi="Tahoma" w:cs="Tahoma"/>
          <w:b/>
          <w:bCs/>
          <w:color w:val="000000" w:themeColor="text1"/>
          <w:sz w:val="20"/>
          <w:szCs w:val="20"/>
          <w:u w:color="000000"/>
          <w:bdr w:val="nil"/>
          <w:lang w:eastAsia="tr-TR"/>
        </w:rPr>
      </w:pPr>
      <w:r w:rsidRPr="00CF3F85">
        <w:rPr>
          <w:rFonts w:ascii="Tahoma" w:eastAsia="Arial Unicode MS" w:hAnsi="Tahoma" w:cs="Tahoma"/>
          <w:bCs/>
          <w:color w:val="000000" w:themeColor="text1"/>
          <w:sz w:val="20"/>
          <w:szCs w:val="20"/>
          <w:u w:color="000000"/>
          <w:bdr w:val="nil"/>
          <w:lang w:eastAsia="tr-TR"/>
        </w:rPr>
        <w:t xml:space="preserve">“Türk Savunma Sanayiinin Yükselişi ve Ambargolar” kitabına buradan ulaşabilirsiniz: </w:t>
      </w:r>
      <w:hyperlink r:id="rId7" w:history="1">
        <w:r w:rsidRPr="00CF3F85">
          <w:rPr>
            <w:rFonts w:ascii="Tahoma" w:eastAsia="Arial Unicode MS" w:hAnsi="Tahoma" w:cs="Tahoma"/>
            <w:bCs/>
            <w:color w:val="0563C1" w:themeColor="hyperlink"/>
            <w:sz w:val="20"/>
            <w:szCs w:val="20"/>
            <w:u w:val="single" w:color="000000"/>
            <w:bdr w:val="nil"/>
            <w:lang w:eastAsia="tr-TR"/>
          </w:rPr>
          <w:t>https://thinktech.stm.com.tr/tr/turk-savunma-sanayiinin-yukselisi-ve-ambargolar-kritik-teknoloji-bilesen-ve-alt-sistemlerde-yerlilesme-ve-millilesme-hamlesi</w:t>
        </w:r>
      </w:hyperlink>
      <w:r w:rsidRPr="00CF3F85">
        <w:rPr>
          <w:rFonts w:ascii="Tahoma" w:eastAsia="Arial Unicode MS" w:hAnsi="Tahoma" w:cs="Tahoma"/>
          <w:bCs/>
          <w:color w:val="000000" w:themeColor="text1"/>
          <w:sz w:val="20"/>
          <w:szCs w:val="20"/>
          <w:u w:color="000000"/>
          <w:bdr w:val="nil"/>
          <w:lang w:eastAsia="tr-TR"/>
        </w:rPr>
        <w:t xml:space="preserve"> </w:t>
      </w:r>
    </w:p>
    <w:p w:rsidR="00CF3F85" w:rsidRPr="00CF3F85" w:rsidRDefault="00CF3F85" w:rsidP="00CF3F85">
      <w:pPr>
        <w:pBdr>
          <w:top w:val="nil"/>
          <w:left w:val="nil"/>
          <w:bottom w:val="nil"/>
          <w:right w:val="nil"/>
          <w:between w:val="nil"/>
          <w:bar w:val="nil"/>
        </w:pBdr>
        <w:suppressAutoHyphens/>
        <w:spacing w:line="276" w:lineRule="auto"/>
        <w:jc w:val="both"/>
        <w:rPr>
          <w:rFonts w:ascii="Tahoma" w:eastAsia="Arial Unicode MS" w:hAnsi="Tahoma" w:cs="Tahoma"/>
          <w:bCs/>
          <w:color w:val="000000" w:themeColor="text1"/>
          <w:sz w:val="20"/>
          <w:szCs w:val="20"/>
          <w:u w:color="000000"/>
          <w:bdr w:val="nil"/>
          <w:lang w:eastAsia="tr-TR"/>
        </w:rPr>
      </w:pPr>
      <w:r w:rsidRPr="00CF3F85">
        <w:rPr>
          <w:rFonts w:ascii="Tahoma" w:eastAsia="Arial Unicode MS" w:hAnsi="Tahoma" w:cs="Tahoma"/>
          <w:bCs/>
          <w:color w:val="000000" w:themeColor="text1"/>
          <w:sz w:val="20"/>
          <w:szCs w:val="20"/>
          <w:u w:color="000000"/>
          <w:bdr w:val="nil"/>
          <w:lang w:eastAsia="tr-TR"/>
        </w:rPr>
        <w:t xml:space="preserve"> </w:t>
      </w:r>
    </w:p>
    <w:p w:rsidR="00CF3F85" w:rsidRPr="00CF3F85" w:rsidRDefault="00CF3F85" w:rsidP="00CF3F85">
      <w:pPr>
        <w:pBdr>
          <w:top w:val="nil"/>
          <w:left w:val="nil"/>
          <w:bottom w:val="nil"/>
          <w:right w:val="nil"/>
          <w:between w:val="nil"/>
          <w:bar w:val="nil"/>
        </w:pBdr>
        <w:suppressAutoHyphens/>
        <w:spacing w:line="276" w:lineRule="auto"/>
        <w:jc w:val="both"/>
        <w:rPr>
          <w:rFonts w:ascii="Tahoma" w:eastAsia="Arial Unicode MS" w:hAnsi="Tahoma" w:cs="Tahoma"/>
          <w:b/>
          <w:bCs/>
          <w:i/>
          <w:color w:val="000000" w:themeColor="text1"/>
          <w:sz w:val="18"/>
          <w:szCs w:val="20"/>
          <w:u w:color="000000"/>
          <w:bdr w:val="nil"/>
          <w:lang w:eastAsia="tr-TR"/>
        </w:rPr>
      </w:pPr>
      <w:r w:rsidRPr="00CF3F85">
        <w:rPr>
          <w:rFonts w:ascii="Tahoma" w:eastAsia="Arial Unicode MS" w:hAnsi="Tahoma" w:cs="Tahoma"/>
          <w:b/>
          <w:bCs/>
          <w:i/>
          <w:color w:val="000000" w:themeColor="text1"/>
          <w:sz w:val="18"/>
          <w:szCs w:val="20"/>
          <w:u w:color="000000"/>
          <w:bdr w:val="nil"/>
          <w:lang w:eastAsia="tr-TR"/>
        </w:rPr>
        <w:t>STM ThinkTech Hakkında</w:t>
      </w:r>
    </w:p>
    <w:p w:rsidR="00CF3F85" w:rsidRPr="00CF3F85" w:rsidRDefault="00CF3F85" w:rsidP="00CF3F85">
      <w:pPr>
        <w:pBdr>
          <w:top w:val="nil"/>
          <w:left w:val="nil"/>
          <w:bottom w:val="nil"/>
          <w:right w:val="nil"/>
          <w:between w:val="nil"/>
          <w:bar w:val="nil"/>
        </w:pBdr>
        <w:suppressAutoHyphens/>
        <w:spacing w:line="276" w:lineRule="auto"/>
        <w:jc w:val="both"/>
        <w:rPr>
          <w:rFonts w:ascii="Tahoma" w:eastAsia="Arial Unicode MS" w:hAnsi="Tahoma" w:cs="Tahoma"/>
          <w:bCs/>
          <w:i/>
          <w:color w:val="000000" w:themeColor="text1"/>
          <w:sz w:val="18"/>
          <w:szCs w:val="20"/>
          <w:u w:color="000000"/>
          <w:bdr w:val="nil"/>
          <w:lang w:eastAsia="tr-TR"/>
        </w:rPr>
      </w:pPr>
      <w:r w:rsidRPr="00CF3F85">
        <w:rPr>
          <w:rFonts w:ascii="Tahoma" w:eastAsia="Arial Unicode MS" w:hAnsi="Tahoma" w:cs="Tahoma"/>
          <w:bCs/>
          <w:i/>
          <w:color w:val="000000" w:themeColor="text1"/>
          <w:sz w:val="18"/>
          <w:szCs w:val="20"/>
          <w:u w:color="000000"/>
          <w:bdr w:val="nil"/>
          <w:lang w:eastAsia="tr-TR"/>
        </w:rPr>
        <w:t xml:space="preserve">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ThinkTech, başta savunma olmak üzere havacılık, enerji, ulaştırma, eğitim ve sağlık alanlarında objektif bir yaklaşımla teknoloji odaklı analizler ile özgün çözümler geliştiriyor ve veri işleme yeteneğiyle raporlar yayımlıyor. STM ThinkTech, geliştirmekte olduğu öngörüler ve stratejik çözümler için akademisyenler, </w:t>
      </w:r>
      <w:r w:rsidRPr="00CF3F85">
        <w:rPr>
          <w:rFonts w:ascii="Tahoma" w:eastAsia="Arial Unicode MS" w:hAnsi="Tahoma" w:cs="Tahoma"/>
          <w:bCs/>
          <w:i/>
          <w:color w:val="000000" w:themeColor="text1"/>
          <w:sz w:val="18"/>
          <w:szCs w:val="20"/>
          <w:u w:color="000000"/>
          <w:bdr w:val="nil"/>
          <w:lang w:eastAsia="tr-TR"/>
        </w:rPr>
        <w:lastRenderedPageBreak/>
        <w:t>diğer düşünce kuruluşları, üniversiteler, yüksek teknoloji üreten firmalar, kamu kurumları ve karar vericilerle iş birliği içerisinde.</w:t>
      </w:r>
    </w:p>
    <w:p w:rsidR="00CF3F85" w:rsidRPr="00CF3F85" w:rsidRDefault="00CF3F85" w:rsidP="00CF3F85">
      <w:pPr>
        <w:pBdr>
          <w:top w:val="nil"/>
          <w:left w:val="nil"/>
          <w:bottom w:val="nil"/>
          <w:right w:val="nil"/>
          <w:between w:val="nil"/>
          <w:bar w:val="nil"/>
        </w:pBdr>
        <w:suppressAutoHyphens/>
        <w:spacing w:line="276" w:lineRule="auto"/>
        <w:jc w:val="both"/>
        <w:rPr>
          <w:rFonts w:ascii="Tahoma" w:eastAsia="Tahoma" w:hAnsi="Tahoma" w:cs="Tahoma"/>
          <w:b/>
          <w:bCs/>
          <w:i/>
          <w:color w:val="000000" w:themeColor="text1"/>
          <w:sz w:val="18"/>
          <w:szCs w:val="20"/>
          <w:u w:color="000000"/>
          <w:bdr w:val="nil"/>
          <w:lang w:eastAsia="tr-TR"/>
        </w:rPr>
      </w:pPr>
      <w:r w:rsidRPr="00CF3F85">
        <w:rPr>
          <w:rFonts w:ascii="Tahoma" w:eastAsia="Arial Unicode MS" w:hAnsi="Tahoma" w:cs="Tahoma"/>
          <w:b/>
          <w:bCs/>
          <w:i/>
          <w:color w:val="000000" w:themeColor="text1"/>
          <w:sz w:val="18"/>
          <w:szCs w:val="20"/>
          <w:u w:color="000000"/>
          <w:bdr w:val="nil"/>
          <w:lang w:eastAsia="tr-TR"/>
        </w:rPr>
        <w:t>STM Hakkında</w:t>
      </w:r>
    </w:p>
    <w:p w:rsidR="00F3640D" w:rsidRPr="00CF3F85" w:rsidRDefault="00CF3F85" w:rsidP="00CF3F85">
      <w:pPr>
        <w:pBdr>
          <w:top w:val="nil"/>
          <w:left w:val="nil"/>
          <w:bottom w:val="nil"/>
          <w:right w:val="nil"/>
          <w:between w:val="nil"/>
          <w:bar w:val="nil"/>
        </w:pBdr>
        <w:suppressAutoHyphens/>
        <w:spacing w:after="0" w:line="276" w:lineRule="auto"/>
        <w:jc w:val="both"/>
        <w:rPr>
          <w:rFonts w:ascii="Tahoma" w:eastAsia="Tahoma" w:hAnsi="Tahoma" w:cs="Tahoma"/>
          <w:b/>
          <w:bCs/>
          <w:i/>
          <w:color w:val="000000" w:themeColor="text1"/>
          <w:sz w:val="20"/>
          <w:u w:color="000000"/>
          <w:bdr w:val="nil"/>
          <w:lang w:eastAsia="tr-TR"/>
        </w:rPr>
      </w:pPr>
      <w:r w:rsidRPr="00CF3F85">
        <w:rPr>
          <w:rFonts w:ascii="Tahoma" w:eastAsia="Helvetica" w:hAnsi="Tahoma" w:cs="Tahoma"/>
          <w:i/>
          <w:color w:val="000000" w:themeColor="text1"/>
          <w:sz w:val="18"/>
          <w:szCs w:val="20"/>
          <w:u w:color="000000"/>
          <w:bdr w:val="nil"/>
          <w:lang w:eastAsia="tr-TR"/>
        </w:rPr>
        <w:t>Savunma sanayiine mühendislik, teknoloji ve danışmanlık alanlarında çeyrek asırdan uzun bir süredir hizmet veren STM ise,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sectPr w:rsidR="00F3640D" w:rsidRPr="00CF3F85" w:rsidSect="00CF3F85">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AEB" w:rsidRDefault="004A0AEB" w:rsidP="00CF3F85">
      <w:pPr>
        <w:spacing w:after="0" w:line="240" w:lineRule="auto"/>
      </w:pPr>
      <w:r>
        <w:separator/>
      </w:r>
    </w:p>
  </w:endnote>
  <w:endnote w:type="continuationSeparator" w:id="0">
    <w:p w:rsidR="004A0AEB" w:rsidRDefault="004A0AEB" w:rsidP="00CF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85" w:rsidRDefault="00CF3F85" w:rsidP="00CF3F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CF3F85" w:rsidP="00CF3F85">
    <w:pPr>
      <w:pStyle w:val="AltBilgi"/>
    </w:pPr>
    <w:bookmarkStart w:id="2" w:name="TITUS1FooterPrimary"/>
    <w:r w:rsidRPr="00CF3F85">
      <w:rPr>
        <w:rFonts w:ascii="Verdana" w:hAnsi="Verdana"/>
        <w:b/>
        <w:color w:val="000000"/>
        <w:sz w:val="20"/>
      </w:rPr>
      <w:t>TASNİF DIŞI</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4A0A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AEB" w:rsidRDefault="004A0AEB" w:rsidP="00CF3F85">
      <w:pPr>
        <w:spacing w:after="0" w:line="240" w:lineRule="auto"/>
      </w:pPr>
      <w:r>
        <w:separator/>
      </w:r>
    </w:p>
  </w:footnote>
  <w:footnote w:type="continuationSeparator" w:id="0">
    <w:p w:rsidR="004A0AEB" w:rsidRDefault="004A0AEB" w:rsidP="00CF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85" w:rsidRDefault="00CF3F85" w:rsidP="00CF3F85">
    <w:pPr>
      <w:pStyle w:val="GvdeBAA"/>
    </w:pPr>
    <w:r>
      <w:rPr>
        <w:noProof/>
      </w:rPr>
      <w:drawing>
        <wp:inline distT="0" distB="0" distL="0" distR="0" wp14:anchorId="2EC47CAC" wp14:editId="42EF9938">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85" w:rsidRDefault="00CF3F85" w:rsidP="00CF3F85">
    <w:pPr>
      <w:pStyle w:val="GvdeBAA"/>
    </w:pPr>
    <w:bookmarkStart w:id="1" w:name="TITUS1HeaderPrimary"/>
    <w:r w:rsidRPr="00CF3F85">
      <w:rPr>
        <w:rFonts w:ascii="Verdana" w:hAnsi="Verdana"/>
        <w:b/>
        <w:sz w:val="20"/>
      </w:rPr>
      <w:t>TASNİF DIŞI</w:t>
    </w:r>
  </w:p>
  <w:bookmarkEnd w:id="1"/>
  <w:p w:rsidR="00A72624" w:rsidRDefault="004A0AEB" w:rsidP="00CF3F85">
    <w:pPr>
      <w:pStyle w:val="GvdeBAA"/>
    </w:pPr>
    <w:r>
      <w:rPr>
        <w:noProof/>
      </w:rPr>
      <w:drawing>
        <wp:inline distT="0" distB="0" distL="0" distR="0" wp14:anchorId="432630F0" wp14:editId="2B303B2F">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6" w:rsidRDefault="004A0AEB" w:rsidP="00CF3F85">
    <w:pPr>
      <w:pStyle w:val="GvdeBAA"/>
    </w:pPr>
    <w:r>
      <w:rPr>
        <w:noProof/>
      </w:rPr>
      <w:drawing>
        <wp:inline distT="0" distB="0" distL="0" distR="0" wp14:anchorId="745B454D" wp14:editId="6C7E82E5">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rsidR="00FE1366" w:rsidRDefault="004A0A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4343"/>
    <w:multiLevelType w:val="hybridMultilevel"/>
    <w:tmpl w:val="6C883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FE"/>
    <w:rsid w:val="000449E5"/>
    <w:rsid w:val="004A0AEB"/>
    <w:rsid w:val="00CE66FE"/>
    <w:rsid w:val="00CF3F85"/>
    <w:rsid w:val="00F364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1F17"/>
  <w15:chartTrackingRefBased/>
  <w15:docId w15:val="{59D2D8E4-8348-4EC7-BACB-FA5D8C61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CF3F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3F85"/>
  </w:style>
  <w:style w:type="paragraph" w:customStyle="1" w:styleId="GvdeBAA">
    <w:name w:val="Gövde B A A"/>
    <w:rsid w:val="00CF3F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stBilgi">
    <w:name w:val="header"/>
    <w:basedOn w:val="Normal"/>
    <w:link w:val="stBilgiChar"/>
    <w:uiPriority w:val="99"/>
    <w:unhideWhenUsed/>
    <w:rsid w:val="00CF3F85"/>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lang w:val="en-US"/>
    </w:rPr>
  </w:style>
  <w:style w:type="character" w:customStyle="1" w:styleId="stBilgiChar">
    <w:name w:val="Üst Bilgi Char"/>
    <w:basedOn w:val="VarsaylanParagrafYazTipi"/>
    <w:link w:val="stBilgi"/>
    <w:uiPriority w:val="99"/>
    <w:rsid w:val="00CF3F85"/>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hinktech.stm.com.tr/tr/turk-savunma-sanayiinin-yukselisi-ve-ambargolar-kritik-teknoloji-bilesen-ve-alt-sistemlerde-yerlilesme-ve-millilesme-hamle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3493</Characters>
  <Application>Microsoft Office Word</Application>
  <DocSecurity>0</DocSecurity>
  <Lines>52</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3</cp:revision>
  <dcterms:created xsi:type="dcterms:W3CDTF">2021-12-27T08:54:00Z</dcterms:created>
  <dcterms:modified xsi:type="dcterms:W3CDTF">2021-12-27T08:59:00Z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6dfae8b9-8012-416a-b164-a279155bb696</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