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53CB4" w14:textId="02637796" w:rsidR="00A950E3" w:rsidRPr="00A950E3" w:rsidRDefault="00A950E3" w:rsidP="00A950E3">
      <w:pPr>
        <w:pStyle w:val="NormalWeb"/>
        <w:rPr>
          <w:rFonts w:ascii="Tahoma" w:hAnsi="Tahoma" w:cs="Tahoma"/>
          <w:b/>
        </w:rPr>
      </w:pPr>
      <w:r w:rsidRPr="00A950E3">
        <w:rPr>
          <w:rStyle w:val="YokA"/>
          <w:rFonts w:ascii="Tahoma" w:hAnsi="Tahoma" w:cs="Tahoma"/>
          <w:b/>
          <w:noProof/>
          <w:lang w:val="en-US" w:eastAsia="en-US"/>
        </w:rPr>
        <mc:AlternateContent>
          <mc:Choice Requires="wps">
            <w:drawing>
              <wp:anchor distT="0" distB="0" distL="0" distR="0" simplePos="0" relativeHeight="251659264" behindDoc="0" locked="0" layoutInCell="1" allowOverlap="1" wp14:anchorId="6476C750" wp14:editId="3BC94711">
                <wp:simplePos x="0" y="0"/>
                <wp:positionH relativeFrom="page">
                  <wp:posOffset>937260</wp:posOffset>
                </wp:positionH>
                <wp:positionV relativeFrom="line">
                  <wp:posOffset>239700</wp:posOffset>
                </wp:positionV>
                <wp:extent cx="5951855" cy="8255"/>
                <wp:effectExtent l="19050" t="19050" r="29845" b="29845"/>
                <wp:wrapNone/>
                <wp:docPr id="1073741827" name="officeArt object"/>
                <wp:cNvGraphicFramePr/>
                <a:graphic xmlns:a="http://schemas.openxmlformats.org/drawingml/2006/main">
                  <a:graphicData uri="http://schemas.microsoft.com/office/word/2010/wordprocessingShape">
                    <wps:wsp>
                      <wps:cNvCnPr/>
                      <wps:spPr>
                        <a:xfrm>
                          <a:off x="0" y="0"/>
                          <a:ext cx="5951855" cy="8255"/>
                        </a:xfrm>
                        <a:prstGeom prst="line">
                          <a:avLst/>
                        </a:prstGeom>
                        <a:noFill/>
                        <a:ln w="28575" cap="flat">
                          <a:solidFill>
                            <a:srgbClr val="4498C7"/>
                          </a:solidFill>
                          <a:prstDash val="solid"/>
                          <a:round/>
                        </a:ln>
                        <a:effectLst/>
                      </wps:spPr>
                      <wps:bodyPr/>
                    </wps:wsp>
                  </a:graphicData>
                </a:graphic>
              </wp:anchor>
            </w:drawing>
          </mc:Choice>
          <mc:Fallback>
            <w:pict>
              <v:line w14:anchorId="1DAE4787" id="officeArt object" o:spid="_x0000_s1026" style="position:absolute;z-index:251659264;visibility:visible;mso-wrap-style:square;mso-wrap-distance-left:0;mso-wrap-distance-top:0;mso-wrap-distance-right:0;mso-wrap-distance-bottom:0;mso-position-horizontal:absolute;mso-position-horizontal-relative:page;mso-position-vertical:absolute;mso-position-vertical-relative:line" from="73.8pt,18.85pt" to="542.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" strokecolor="#4498c7" strokeweight="2.25pt">
                <w10:wrap anchorx="page" anchory="line"/>
              </v:line>
            </w:pict>
          </mc:Fallback>
        </mc:AlternateContent>
      </w:r>
      <w:r w:rsidRPr="00A950E3">
        <w:rPr>
          <w:rFonts w:ascii="Tahoma" w:hAnsi="Tahoma" w:cs="Tahoma"/>
          <w:b/>
        </w:rPr>
        <w:t xml:space="preserve"> Basın Bülteni                                                                                 Aralık 2025</w:t>
      </w:r>
    </w:p>
    <w:p w14:paraId="0A155C51" w14:textId="7179375F" w:rsidR="006C778A" w:rsidRPr="00A950E3" w:rsidRDefault="006C778A" w:rsidP="00A950E3">
      <w:pPr>
        <w:jc w:val="center"/>
        <w:rPr>
          <w:rFonts w:ascii="Tahoma" w:hAnsi="Tahoma" w:cs="Tahoma"/>
          <w:b/>
          <w:bCs/>
          <w:sz w:val="24"/>
          <w:szCs w:val="24"/>
        </w:rPr>
      </w:pPr>
      <w:r w:rsidRPr="00A950E3">
        <w:rPr>
          <w:rFonts w:ascii="Tahoma" w:hAnsi="Tahoma" w:cs="Tahoma"/>
          <w:b/>
          <w:bCs/>
          <w:sz w:val="24"/>
          <w:szCs w:val="24"/>
        </w:rPr>
        <w:t>Milli Yalpa Sönümlendirme Sistemi, Malezya Korvetleri’nde Kullanılacak</w:t>
      </w:r>
    </w:p>
    <w:p w14:paraId="7DA0D1C8" w14:textId="1180BF16" w:rsidR="00F76F52" w:rsidRPr="00A950E3" w:rsidRDefault="00F653CE" w:rsidP="00A950E3">
      <w:pPr>
        <w:jc w:val="center"/>
        <w:rPr>
          <w:rFonts w:ascii="Tahoma" w:hAnsi="Tahoma" w:cs="Tahoma"/>
          <w:i/>
          <w:iCs/>
        </w:rPr>
      </w:pPr>
      <w:r w:rsidRPr="00A950E3">
        <w:rPr>
          <w:rFonts w:ascii="Tahoma" w:hAnsi="Tahoma" w:cs="Tahoma"/>
          <w:i/>
          <w:iCs/>
        </w:rPr>
        <w:t xml:space="preserve">Suüstü harp gemilerinin; </w:t>
      </w:r>
      <w:r w:rsidR="002B7848">
        <w:rPr>
          <w:rFonts w:ascii="Tahoma" w:hAnsi="Tahoma" w:cs="Tahoma"/>
          <w:i/>
          <w:iCs/>
        </w:rPr>
        <w:t xml:space="preserve">olumsuz hava ve deniz koşullarında </w:t>
      </w:r>
      <w:r w:rsidRPr="00A950E3">
        <w:rPr>
          <w:rFonts w:ascii="Tahoma" w:hAnsi="Tahoma" w:cs="Tahoma"/>
          <w:i/>
          <w:iCs/>
        </w:rPr>
        <w:t xml:space="preserve">maruz kaldığı </w:t>
      </w:r>
      <w:r w:rsidR="002B7848">
        <w:rPr>
          <w:rFonts w:ascii="Tahoma" w:hAnsi="Tahoma" w:cs="Tahoma"/>
          <w:i/>
          <w:iCs/>
        </w:rPr>
        <w:t>dinamik etkileri</w:t>
      </w:r>
      <w:r w:rsidR="002B7848" w:rsidRPr="00A950E3">
        <w:rPr>
          <w:rFonts w:ascii="Tahoma" w:hAnsi="Tahoma" w:cs="Tahoma"/>
          <w:i/>
          <w:iCs/>
        </w:rPr>
        <w:t xml:space="preserve"> </w:t>
      </w:r>
      <w:r w:rsidRPr="00A950E3">
        <w:rPr>
          <w:rFonts w:ascii="Tahoma" w:hAnsi="Tahoma" w:cs="Tahoma"/>
          <w:i/>
          <w:iCs/>
        </w:rPr>
        <w:t xml:space="preserve">sönümlendirerek, platformların muharebe görevlerini </w:t>
      </w:r>
      <w:r w:rsidR="00780964">
        <w:rPr>
          <w:rFonts w:ascii="Tahoma" w:hAnsi="Tahoma" w:cs="Tahoma"/>
          <w:i/>
          <w:iCs/>
        </w:rPr>
        <w:t xml:space="preserve">en üst seviyede ve güvenle </w:t>
      </w:r>
      <w:r w:rsidRPr="00A950E3">
        <w:rPr>
          <w:rFonts w:ascii="Tahoma" w:hAnsi="Tahoma" w:cs="Tahoma"/>
          <w:i/>
          <w:iCs/>
        </w:rPr>
        <w:t xml:space="preserve">sürdürmesini sağlayan </w:t>
      </w:r>
      <w:r w:rsidR="006C778A" w:rsidRPr="00A950E3">
        <w:rPr>
          <w:rFonts w:ascii="Tahoma" w:hAnsi="Tahoma" w:cs="Tahoma"/>
          <w:i/>
          <w:iCs/>
        </w:rPr>
        <w:t xml:space="preserve">Türkiye’nin </w:t>
      </w:r>
      <w:r w:rsidRPr="00A950E3">
        <w:rPr>
          <w:rFonts w:ascii="Tahoma" w:hAnsi="Tahoma" w:cs="Tahoma"/>
          <w:i/>
          <w:iCs/>
        </w:rPr>
        <w:t>milli Yalpa Sönümlendirme Sistemi</w:t>
      </w:r>
      <w:r w:rsidR="00780964">
        <w:rPr>
          <w:rFonts w:ascii="Tahoma" w:hAnsi="Tahoma" w:cs="Tahoma"/>
          <w:i/>
          <w:iCs/>
        </w:rPr>
        <w:t>nin</w:t>
      </w:r>
      <w:r w:rsidRPr="00A950E3">
        <w:rPr>
          <w:rFonts w:ascii="Tahoma" w:hAnsi="Tahoma" w:cs="Tahoma"/>
          <w:i/>
          <w:iCs/>
        </w:rPr>
        <w:t xml:space="preserve">, STM ana yükleniciliğinde </w:t>
      </w:r>
      <w:r w:rsidR="00F76F52" w:rsidRPr="00A950E3">
        <w:rPr>
          <w:rFonts w:ascii="Tahoma" w:hAnsi="Tahoma" w:cs="Tahoma"/>
          <w:i/>
          <w:iCs/>
        </w:rPr>
        <w:t>inşa</w:t>
      </w:r>
      <w:r w:rsidR="00780964">
        <w:rPr>
          <w:rFonts w:ascii="Tahoma" w:hAnsi="Tahoma" w:cs="Tahoma"/>
          <w:i/>
          <w:iCs/>
        </w:rPr>
        <w:t>sı devam eden</w:t>
      </w:r>
      <w:r w:rsidR="00F76F52" w:rsidRPr="00A950E3">
        <w:rPr>
          <w:rFonts w:ascii="Tahoma" w:hAnsi="Tahoma" w:cs="Tahoma"/>
          <w:i/>
          <w:iCs/>
        </w:rPr>
        <w:t xml:space="preserve"> Malezya Korvet</w:t>
      </w:r>
      <w:r w:rsidR="00780964">
        <w:rPr>
          <w:rFonts w:ascii="Tahoma" w:hAnsi="Tahoma" w:cs="Tahoma"/>
          <w:i/>
          <w:iCs/>
        </w:rPr>
        <w:t>lerine</w:t>
      </w:r>
      <w:r w:rsidR="00F76F52" w:rsidRPr="00A950E3">
        <w:rPr>
          <w:rFonts w:ascii="Tahoma" w:hAnsi="Tahoma" w:cs="Tahoma"/>
          <w:i/>
          <w:iCs/>
        </w:rPr>
        <w:t xml:space="preserve"> teslimatları tamamla</w:t>
      </w:r>
      <w:r w:rsidR="00237180">
        <w:rPr>
          <w:rFonts w:ascii="Tahoma" w:hAnsi="Tahoma" w:cs="Tahoma"/>
          <w:i/>
          <w:iCs/>
        </w:rPr>
        <w:t>n</w:t>
      </w:r>
      <w:r w:rsidR="00F76F52" w:rsidRPr="00A950E3">
        <w:rPr>
          <w:rFonts w:ascii="Tahoma" w:hAnsi="Tahoma" w:cs="Tahoma"/>
          <w:i/>
          <w:iCs/>
        </w:rPr>
        <w:t>dı.</w:t>
      </w:r>
    </w:p>
    <w:p w14:paraId="2B9EB90D" w14:textId="0A7F0A6E" w:rsidR="00F76F52" w:rsidRPr="00A950E3" w:rsidRDefault="00F76F52" w:rsidP="002C2E71">
      <w:pPr>
        <w:jc w:val="both"/>
        <w:rPr>
          <w:rFonts w:ascii="Tahoma" w:hAnsi="Tahoma" w:cs="Tahoma"/>
          <w:sz w:val="20"/>
          <w:szCs w:val="20"/>
        </w:rPr>
      </w:pPr>
      <w:r w:rsidRPr="00A950E3">
        <w:rPr>
          <w:rFonts w:ascii="Tahoma" w:hAnsi="Tahoma" w:cs="Tahoma"/>
          <w:sz w:val="20"/>
          <w:szCs w:val="20"/>
        </w:rPr>
        <w:t xml:space="preserve">Türkiye’nin Mavi Vatan’daki mühendislik gücü </w:t>
      </w:r>
      <w:r w:rsidR="002C2E71" w:rsidRPr="00A950E3">
        <w:rPr>
          <w:rFonts w:ascii="Tahoma" w:hAnsi="Tahoma" w:cs="Tahoma"/>
          <w:sz w:val="20"/>
          <w:szCs w:val="20"/>
        </w:rPr>
        <w:t>STM Savunma Teknolojileri Mühendislik ve Ticaret A.Ş.</w:t>
      </w:r>
      <w:r w:rsidRPr="00A950E3">
        <w:rPr>
          <w:rFonts w:ascii="Tahoma" w:hAnsi="Tahoma" w:cs="Tahoma"/>
          <w:sz w:val="20"/>
          <w:szCs w:val="20"/>
        </w:rPr>
        <w:t>, askerî denizcilik alanında kritik yerlileştirme ve millileştirme adımlarını ihracata dönüştürmeyi sürdürüyor.</w:t>
      </w:r>
      <w:r w:rsidR="002C2E71">
        <w:rPr>
          <w:rFonts w:ascii="Tahoma" w:hAnsi="Tahoma" w:cs="Tahoma"/>
          <w:sz w:val="20"/>
          <w:szCs w:val="20"/>
        </w:rPr>
        <w:t xml:space="preserve"> </w:t>
      </w:r>
      <w:r w:rsidR="00F653CE" w:rsidRPr="00A950E3">
        <w:rPr>
          <w:rFonts w:ascii="Tahoma" w:hAnsi="Tahoma" w:cs="Tahoma"/>
          <w:sz w:val="20"/>
          <w:szCs w:val="20"/>
        </w:rPr>
        <w:t>STM</w:t>
      </w:r>
      <w:r w:rsidR="002C2E71">
        <w:rPr>
          <w:rFonts w:ascii="Tahoma" w:hAnsi="Tahoma" w:cs="Tahoma"/>
          <w:sz w:val="20"/>
          <w:szCs w:val="20"/>
        </w:rPr>
        <w:t xml:space="preserve"> </w:t>
      </w:r>
      <w:r w:rsidR="002B7848">
        <w:rPr>
          <w:rFonts w:ascii="Tahoma" w:hAnsi="Tahoma" w:cs="Tahoma"/>
          <w:sz w:val="20"/>
          <w:szCs w:val="20"/>
        </w:rPr>
        <w:t>ve</w:t>
      </w:r>
      <w:r w:rsidR="009F3B52">
        <w:rPr>
          <w:rFonts w:ascii="Tahoma" w:hAnsi="Tahoma" w:cs="Tahoma"/>
          <w:sz w:val="20"/>
          <w:szCs w:val="20"/>
        </w:rPr>
        <w:t xml:space="preserve"> Robotek Otomasyon Teknolojileri iş birliği ile</w:t>
      </w:r>
      <w:r w:rsidR="00F653CE" w:rsidRPr="00A950E3">
        <w:rPr>
          <w:rFonts w:ascii="Tahoma" w:hAnsi="Tahoma" w:cs="Tahoma"/>
          <w:sz w:val="20"/>
          <w:szCs w:val="20"/>
        </w:rPr>
        <w:t xml:space="preserve"> </w:t>
      </w:r>
      <w:r w:rsidR="002C2E71">
        <w:rPr>
          <w:rFonts w:ascii="Tahoma" w:hAnsi="Tahoma" w:cs="Tahoma"/>
          <w:sz w:val="20"/>
          <w:szCs w:val="20"/>
        </w:rPr>
        <w:t xml:space="preserve">geliştirilen </w:t>
      </w:r>
      <w:r w:rsidR="002B7848">
        <w:rPr>
          <w:rFonts w:ascii="Tahoma" w:hAnsi="Tahoma" w:cs="Tahoma"/>
          <w:sz w:val="20"/>
          <w:szCs w:val="20"/>
        </w:rPr>
        <w:t>Türkiye’nin</w:t>
      </w:r>
      <w:r w:rsidR="002C2E71">
        <w:rPr>
          <w:rFonts w:ascii="Tahoma" w:hAnsi="Tahoma" w:cs="Tahoma"/>
          <w:sz w:val="20"/>
          <w:szCs w:val="20"/>
        </w:rPr>
        <w:t xml:space="preserve"> ilk </w:t>
      </w:r>
      <w:r w:rsidR="002B7848">
        <w:rPr>
          <w:rFonts w:ascii="Tahoma" w:hAnsi="Tahoma" w:cs="Tahoma"/>
          <w:sz w:val="20"/>
          <w:szCs w:val="20"/>
        </w:rPr>
        <w:t xml:space="preserve">milli </w:t>
      </w:r>
      <w:r w:rsidR="00F653CE" w:rsidRPr="00A950E3">
        <w:rPr>
          <w:rFonts w:ascii="Tahoma" w:hAnsi="Tahoma" w:cs="Tahoma"/>
          <w:sz w:val="20"/>
          <w:szCs w:val="20"/>
        </w:rPr>
        <w:t>Yalpa Sönümlendirme Sistemi</w:t>
      </w:r>
      <w:r w:rsidR="002B7848">
        <w:rPr>
          <w:rFonts w:ascii="Tahoma" w:hAnsi="Tahoma" w:cs="Tahoma"/>
          <w:sz w:val="20"/>
          <w:szCs w:val="20"/>
        </w:rPr>
        <w:t xml:space="preserve"> </w:t>
      </w:r>
      <w:r w:rsidR="002C2E71">
        <w:rPr>
          <w:rFonts w:ascii="Tahoma" w:hAnsi="Tahoma" w:cs="Tahoma"/>
          <w:sz w:val="20"/>
          <w:szCs w:val="20"/>
        </w:rPr>
        <w:t xml:space="preserve">daha önce </w:t>
      </w:r>
      <w:r w:rsidR="002B7848">
        <w:rPr>
          <w:rFonts w:ascii="Tahoma" w:hAnsi="Tahoma" w:cs="Tahoma"/>
          <w:sz w:val="20"/>
          <w:szCs w:val="20"/>
        </w:rPr>
        <w:t>korvet sınıfı savaş gemilerine başarı ile entegre edilmişti</w:t>
      </w:r>
      <w:r w:rsidR="00F653CE" w:rsidRPr="00A950E3">
        <w:rPr>
          <w:rFonts w:ascii="Tahoma" w:hAnsi="Tahoma" w:cs="Tahoma"/>
          <w:sz w:val="20"/>
          <w:szCs w:val="20"/>
        </w:rPr>
        <w:t>.</w:t>
      </w:r>
      <w:r w:rsidR="001857C5">
        <w:rPr>
          <w:rFonts w:ascii="Tahoma" w:hAnsi="Tahoma" w:cs="Tahoma"/>
          <w:sz w:val="20"/>
          <w:szCs w:val="20"/>
        </w:rPr>
        <w:t xml:space="preserve"> </w:t>
      </w:r>
      <w:r w:rsidRPr="00A950E3">
        <w:rPr>
          <w:rFonts w:ascii="Tahoma" w:hAnsi="Tahoma" w:cs="Tahoma"/>
          <w:sz w:val="20"/>
          <w:szCs w:val="20"/>
        </w:rPr>
        <w:t xml:space="preserve">Türkiye’nin yerli ve milli Yalpa Sönümlendirme Sistemi, STM ana yükleniciliğinde yürütülen Malezya Korvet Projesi kapsamında üç korvete </w:t>
      </w:r>
      <w:r w:rsidR="009F3B52">
        <w:rPr>
          <w:rFonts w:ascii="Tahoma" w:hAnsi="Tahoma" w:cs="Tahoma"/>
          <w:sz w:val="20"/>
          <w:szCs w:val="20"/>
        </w:rPr>
        <w:t xml:space="preserve">daha </w:t>
      </w:r>
      <w:r w:rsidRPr="00A950E3">
        <w:rPr>
          <w:rFonts w:ascii="Tahoma" w:hAnsi="Tahoma" w:cs="Tahoma"/>
          <w:sz w:val="20"/>
          <w:szCs w:val="20"/>
        </w:rPr>
        <w:t>entegre ediliyor. Sistemin fabrika kabul testleri (FAT) ve teslimat süreçleri başarıyla tamamlandı.</w:t>
      </w:r>
    </w:p>
    <w:p w14:paraId="32F50868" w14:textId="77777777" w:rsidR="00F76F52" w:rsidRPr="00A950E3" w:rsidRDefault="00F76F52" w:rsidP="002C2E71">
      <w:pPr>
        <w:jc w:val="both"/>
        <w:rPr>
          <w:rFonts w:ascii="Tahoma" w:hAnsi="Tahoma" w:cs="Tahoma"/>
          <w:b/>
          <w:bCs/>
          <w:sz w:val="20"/>
          <w:szCs w:val="20"/>
        </w:rPr>
      </w:pPr>
      <w:r w:rsidRPr="00A950E3">
        <w:rPr>
          <w:rFonts w:ascii="Tahoma" w:hAnsi="Tahoma" w:cs="Tahoma"/>
          <w:b/>
          <w:bCs/>
          <w:sz w:val="20"/>
          <w:szCs w:val="20"/>
        </w:rPr>
        <w:t>Milli Fırkateynlerde de Görev Yapacak</w:t>
      </w:r>
    </w:p>
    <w:p w14:paraId="0C2A785D" w14:textId="77777777" w:rsidR="00F76F52" w:rsidRPr="00A950E3" w:rsidRDefault="00F76F52" w:rsidP="002C2E71">
      <w:pPr>
        <w:jc w:val="both"/>
        <w:rPr>
          <w:rFonts w:ascii="Tahoma" w:hAnsi="Tahoma" w:cs="Tahoma"/>
          <w:sz w:val="20"/>
          <w:szCs w:val="20"/>
        </w:rPr>
      </w:pPr>
      <w:r w:rsidRPr="00A950E3">
        <w:rPr>
          <w:rFonts w:ascii="Tahoma" w:hAnsi="Tahoma" w:cs="Tahoma"/>
          <w:sz w:val="20"/>
          <w:szCs w:val="20"/>
        </w:rPr>
        <w:t>Milli Yalpa Sönümlendirme Sistemi, STM’nin yürüttüğü bir ihracat projesi kapsamında daha önce iki korvete daha entegre edilmişti. Böylece bugüne kadar Türkiye tarafından ihraç edilen toplam 5 savaş gemisinde milli sistem kullanılmış oldu.</w:t>
      </w:r>
    </w:p>
    <w:p w14:paraId="4E70F425" w14:textId="4E8CE355" w:rsidR="00F76F52" w:rsidRPr="00A950E3" w:rsidRDefault="00F76F52" w:rsidP="002C2E71">
      <w:pPr>
        <w:jc w:val="both"/>
        <w:rPr>
          <w:rFonts w:ascii="Tahoma" w:hAnsi="Tahoma" w:cs="Tahoma"/>
          <w:sz w:val="20"/>
          <w:szCs w:val="20"/>
        </w:rPr>
      </w:pPr>
      <w:r w:rsidRPr="00A950E3">
        <w:rPr>
          <w:rFonts w:ascii="Tahoma" w:hAnsi="Tahoma" w:cs="Tahoma"/>
          <w:sz w:val="20"/>
          <w:szCs w:val="20"/>
        </w:rPr>
        <w:t>Sistem, ayrıca Türkiye’nin milli fırkateyn projeleri kapsamında MİLGEM İstif Sınıfı Fırkateynlerde de görev yapacak. Yalpa Sönümlendirme Sistemi, 2024 yılı içerisinde Türk Loydu ürün sertifikasını alarak, Türk Loydu’nun da üyesi olduğu Uluslararası Klas Kuruluşları Birliği (IACS) bünyesindeki tüm klas kuruluşları tarafından sertifikalandırılan gemilerde kullanılabil</w:t>
      </w:r>
      <w:r w:rsidR="009F3B52">
        <w:rPr>
          <w:rFonts w:ascii="Tahoma" w:hAnsi="Tahoma" w:cs="Tahoma"/>
          <w:sz w:val="20"/>
          <w:szCs w:val="20"/>
        </w:rPr>
        <w:t>ecek.</w:t>
      </w:r>
      <w:r w:rsidR="001857C5" w:rsidRPr="001857C5">
        <w:t xml:space="preserve"> </w:t>
      </w:r>
      <w:r w:rsidR="001857C5">
        <w:t>Yalpa Sönümlendirme Sistemleri d</w:t>
      </w:r>
      <w:r w:rsidR="001857C5" w:rsidRPr="001857C5">
        <w:rPr>
          <w:rFonts w:ascii="Tahoma" w:hAnsi="Tahoma" w:cs="Tahoma"/>
          <w:sz w:val="20"/>
          <w:szCs w:val="20"/>
        </w:rPr>
        <w:t xml:space="preserve">aha önce yurt dışından tedarik </w:t>
      </w:r>
      <w:r w:rsidR="001857C5">
        <w:rPr>
          <w:rFonts w:ascii="Tahoma" w:hAnsi="Tahoma" w:cs="Tahoma"/>
          <w:sz w:val="20"/>
          <w:szCs w:val="20"/>
        </w:rPr>
        <w:t xml:space="preserve">ediliyordu. STM’nin milli çözümü ile bu alandaki dışa bağımlılık sona ermiş oldu. </w:t>
      </w:r>
    </w:p>
    <w:p w14:paraId="0E925F13" w14:textId="77777777" w:rsidR="00183D23" w:rsidRPr="00A950E3" w:rsidRDefault="00183D23" w:rsidP="002C2E71">
      <w:pPr>
        <w:jc w:val="both"/>
        <w:rPr>
          <w:rFonts w:ascii="Tahoma" w:hAnsi="Tahoma" w:cs="Tahoma"/>
          <w:b/>
          <w:bCs/>
          <w:sz w:val="20"/>
          <w:szCs w:val="20"/>
        </w:rPr>
      </w:pPr>
      <w:r w:rsidRPr="00A950E3">
        <w:rPr>
          <w:rFonts w:ascii="Tahoma" w:hAnsi="Tahoma" w:cs="Tahoma"/>
          <w:b/>
          <w:bCs/>
          <w:sz w:val="20"/>
          <w:szCs w:val="20"/>
        </w:rPr>
        <w:t>Dalgalı Denizlerde Gemi Performansını Artırıyor</w:t>
      </w:r>
    </w:p>
    <w:p w14:paraId="3AE0E938" w14:textId="478B2170" w:rsidR="00183D23" w:rsidRDefault="00183D23" w:rsidP="002C2E71">
      <w:pPr>
        <w:jc w:val="both"/>
        <w:rPr>
          <w:rFonts w:ascii="Tahoma" w:hAnsi="Tahoma" w:cs="Tahoma"/>
          <w:sz w:val="20"/>
          <w:szCs w:val="20"/>
        </w:rPr>
      </w:pPr>
      <w:r w:rsidRPr="00A950E3">
        <w:rPr>
          <w:rFonts w:ascii="Tahoma" w:hAnsi="Tahoma" w:cs="Tahoma"/>
          <w:sz w:val="20"/>
          <w:szCs w:val="20"/>
        </w:rPr>
        <w:t xml:space="preserve">Geminin her iki yöndeki aşırı yalpa hareketine karşı </w:t>
      </w:r>
      <w:r w:rsidR="00780964">
        <w:rPr>
          <w:rFonts w:ascii="Tahoma" w:hAnsi="Tahoma" w:cs="Tahoma"/>
          <w:sz w:val="20"/>
          <w:szCs w:val="20"/>
        </w:rPr>
        <w:t xml:space="preserve">daha stabil bir platform </w:t>
      </w:r>
      <w:r w:rsidRPr="00A950E3">
        <w:rPr>
          <w:rFonts w:ascii="Tahoma" w:hAnsi="Tahoma" w:cs="Tahoma"/>
          <w:sz w:val="20"/>
          <w:szCs w:val="20"/>
        </w:rPr>
        <w:t xml:space="preserve">sağlamak amacıyla geliştirilen Yalpa Sönümlendirme Sistemi, dalgalı deniz koşullarında platformların operasyon kabiliyetini artırıyor. </w:t>
      </w:r>
      <w:r w:rsidR="00780964">
        <w:rPr>
          <w:rFonts w:ascii="Tahoma" w:hAnsi="Tahoma" w:cs="Tahoma"/>
          <w:sz w:val="20"/>
          <w:szCs w:val="20"/>
        </w:rPr>
        <w:t xml:space="preserve">Aşırı denizli havalarda </w:t>
      </w:r>
      <w:r w:rsidRPr="00A950E3">
        <w:rPr>
          <w:rFonts w:ascii="Tahoma" w:hAnsi="Tahoma" w:cs="Tahoma"/>
          <w:sz w:val="20"/>
          <w:szCs w:val="20"/>
        </w:rPr>
        <w:t xml:space="preserve">platformun operasyonel verimliliğini </w:t>
      </w:r>
      <w:r w:rsidR="00780964">
        <w:rPr>
          <w:rFonts w:ascii="Tahoma" w:hAnsi="Tahoma" w:cs="Tahoma"/>
          <w:sz w:val="20"/>
          <w:szCs w:val="20"/>
        </w:rPr>
        <w:t>ve bunun en kritik bileşeni olan personel konforunu arttıran</w:t>
      </w:r>
      <w:r w:rsidRPr="00A950E3">
        <w:rPr>
          <w:rFonts w:ascii="Tahoma" w:hAnsi="Tahoma" w:cs="Tahoma"/>
          <w:sz w:val="20"/>
          <w:szCs w:val="20"/>
        </w:rPr>
        <w:t xml:space="preserve"> sistem; seyir ve muharebe esnasında, zorlu deniz şartları ve ani manevralar sonucu oluşan hareketleri asgari seviyeye indiriyor.</w:t>
      </w:r>
      <w:r w:rsidR="002C2E71">
        <w:rPr>
          <w:rFonts w:ascii="Tahoma" w:hAnsi="Tahoma" w:cs="Tahoma"/>
          <w:sz w:val="20"/>
          <w:szCs w:val="20"/>
        </w:rPr>
        <w:t xml:space="preserve"> </w:t>
      </w:r>
      <w:r w:rsidRPr="00A950E3">
        <w:rPr>
          <w:rFonts w:ascii="Tahoma" w:hAnsi="Tahoma" w:cs="Tahoma"/>
          <w:sz w:val="20"/>
          <w:szCs w:val="20"/>
        </w:rPr>
        <w:t>Helikopter harekâtı, silah stabilizasyonu, denizde ikmal ile malzeme ve personel transferi faaliyetlerine katkı sağlayan Yalpa Sönümlendirme Sistemi; zorlu deniz koşullarına dayanıklı tasarımı, otomatik ve adaptif çalışma kabiliyeti ile öne çıkıyor.</w:t>
      </w:r>
    </w:p>
    <w:p w14:paraId="21929A16" w14:textId="77777777" w:rsidR="00A950E3" w:rsidRPr="00A950E3" w:rsidRDefault="00A950E3" w:rsidP="002C2E71">
      <w:pPr>
        <w:jc w:val="both"/>
        <w:rPr>
          <w:rFonts w:ascii="Tahoma" w:hAnsi="Tahoma" w:cs="Tahoma"/>
          <w:b/>
          <w:bCs/>
          <w:sz w:val="18"/>
          <w:szCs w:val="18"/>
        </w:rPr>
      </w:pPr>
      <w:r w:rsidRPr="00A950E3">
        <w:rPr>
          <w:rFonts w:ascii="Tahoma" w:hAnsi="Tahoma" w:cs="Tahoma"/>
          <w:b/>
          <w:bCs/>
          <w:sz w:val="18"/>
          <w:szCs w:val="18"/>
        </w:rPr>
        <w:t>STM Hakkında</w:t>
      </w:r>
    </w:p>
    <w:p w14:paraId="7240DC37" w14:textId="24EBF5B1" w:rsidR="00A950E3" w:rsidRDefault="00A950E3" w:rsidP="002C2E71">
      <w:pPr>
        <w:jc w:val="both"/>
        <w:rPr>
          <w:rFonts w:ascii="Tahoma" w:hAnsi="Tahoma" w:cs="Tahoma"/>
          <w:sz w:val="18"/>
          <w:szCs w:val="18"/>
        </w:rPr>
      </w:pPr>
      <w:r w:rsidRPr="00A950E3">
        <w:rPr>
          <w:rFonts w:ascii="Tahoma" w:hAnsi="Tahoma" w:cs="Tahoma"/>
          <w:sz w:val="18"/>
          <w:szCs w:val="18"/>
        </w:rPr>
        <w:t>Savunma sanayiine mühendislik, teknoloji ve danışmanlık alanlarında 34 yıldır hizmet veren STM, bugün sahip olduğu temel kabiliyet ve teknolojilerini askeri deniz platformlarından taktik mini İHA sistemlerine, komuta kontrol sistemlerinden siber güvenliğe, büyük veri analitiğinden yapay zekâ uygulamalarına varan stratejik alanlarda kullanarak Türkiye'nin ve dost ülkelerin ihtiyacı olan kritik alanlarda çalışmalar yürütmektedir.</w:t>
      </w:r>
    </w:p>
    <w:p w14:paraId="0B3D5049" w14:textId="77777777" w:rsidR="002C2E71" w:rsidRPr="00A950E3" w:rsidRDefault="002C2E71" w:rsidP="002C2E71">
      <w:pPr>
        <w:jc w:val="both"/>
        <w:rPr>
          <w:rFonts w:ascii="Tahoma" w:hAnsi="Tahoma" w:cs="Tahoma"/>
          <w:sz w:val="18"/>
          <w:szCs w:val="18"/>
        </w:rPr>
      </w:pPr>
    </w:p>
    <w:sectPr w:rsidR="002C2E71" w:rsidRPr="00A950E3">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AB4BA" w14:textId="77777777" w:rsidR="00B90BBC" w:rsidRDefault="00B90BBC" w:rsidP="00183D23">
      <w:pPr>
        <w:spacing w:after="0" w:line="240" w:lineRule="auto"/>
      </w:pPr>
      <w:r>
        <w:separator/>
      </w:r>
    </w:p>
  </w:endnote>
  <w:endnote w:type="continuationSeparator" w:id="0">
    <w:p w14:paraId="61177018" w14:textId="77777777" w:rsidR="00B90BBC" w:rsidRDefault="00B90BBC" w:rsidP="0018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FC8D1" w14:textId="77777777" w:rsidR="00A950E3" w:rsidRDefault="00A950E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A609C" w14:textId="77777777" w:rsidR="00A950E3" w:rsidRDefault="00A950E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F71B7" w14:textId="77777777" w:rsidR="00A950E3" w:rsidRDefault="00A950E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C62BF" w14:textId="77777777" w:rsidR="00B90BBC" w:rsidRDefault="00B90BBC" w:rsidP="00183D23">
      <w:pPr>
        <w:spacing w:after="0" w:line="240" w:lineRule="auto"/>
      </w:pPr>
      <w:r>
        <w:separator/>
      </w:r>
    </w:p>
  </w:footnote>
  <w:footnote w:type="continuationSeparator" w:id="0">
    <w:p w14:paraId="0C7A3B30" w14:textId="77777777" w:rsidR="00B90BBC" w:rsidRDefault="00B90BBC" w:rsidP="00183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92613" w14:textId="77777777" w:rsidR="00A950E3" w:rsidRDefault="00A950E3">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A0B94" w14:textId="523ADB6B" w:rsidR="00A950E3" w:rsidRDefault="00A950E3">
    <w:pPr>
      <w:pStyle w:val="stBilgi"/>
    </w:pPr>
    <w:r>
      <w:rPr>
        <w:noProof/>
        <w:lang w:val="en-US"/>
      </w:rPr>
      <w:drawing>
        <wp:inline distT="0" distB="0" distL="0" distR="0" wp14:anchorId="3700874A" wp14:editId="2A52FF8B">
          <wp:extent cx="1031875" cy="412750"/>
          <wp:effectExtent l="0" t="0" r="0" b="0"/>
          <wp:docPr id="4"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stretch>
                    <a:fillRect/>
                  </a:stretch>
                </pic:blipFill>
                <pic:spPr>
                  <a:xfrm>
                    <a:off x="0" y="0"/>
                    <a:ext cx="1031875" cy="412750"/>
                  </a:xfrm>
                  <a:prstGeom prst="rect">
                    <a:avLst/>
                  </a:prstGeom>
                  <a:ln w="12700" cap="flat">
                    <a:noFill/>
                    <a:miter lim="400000"/>
                  </a:ln>
                  <a:effec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ACEB6" w14:textId="77777777" w:rsidR="00A950E3" w:rsidRDefault="00A950E3">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CEE"/>
    <w:rsid w:val="00043B48"/>
    <w:rsid w:val="000D0ED6"/>
    <w:rsid w:val="00183D23"/>
    <w:rsid w:val="001857C5"/>
    <w:rsid w:val="001B1E35"/>
    <w:rsid w:val="00237180"/>
    <w:rsid w:val="002B7848"/>
    <w:rsid w:val="002C2E71"/>
    <w:rsid w:val="00304CEE"/>
    <w:rsid w:val="003F6362"/>
    <w:rsid w:val="006C778A"/>
    <w:rsid w:val="00770F95"/>
    <w:rsid w:val="00780964"/>
    <w:rsid w:val="009E2269"/>
    <w:rsid w:val="009F3B52"/>
    <w:rsid w:val="00A502DC"/>
    <w:rsid w:val="00A876B7"/>
    <w:rsid w:val="00A950E3"/>
    <w:rsid w:val="00B90BBC"/>
    <w:rsid w:val="00D76A79"/>
    <w:rsid w:val="00D90869"/>
    <w:rsid w:val="00DC3880"/>
    <w:rsid w:val="00E44D1C"/>
    <w:rsid w:val="00E7076F"/>
    <w:rsid w:val="00F57933"/>
    <w:rsid w:val="00F653CE"/>
    <w:rsid w:val="00F76F52"/>
    <w:rsid w:val="00FA6D2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7FBD6"/>
  <w15:chartTrackingRefBased/>
  <w15:docId w15:val="{F8FEB699-CA4C-403E-AFA2-7EE5F7213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183D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83D23"/>
  </w:style>
  <w:style w:type="paragraph" w:styleId="AltBilgi">
    <w:name w:val="footer"/>
    <w:basedOn w:val="Normal"/>
    <w:link w:val="AltBilgiChar"/>
    <w:uiPriority w:val="99"/>
    <w:unhideWhenUsed/>
    <w:rsid w:val="00183D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83D23"/>
  </w:style>
  <w:style w:type="paragraph" w:styleId="NormalWeb">
    <w:name w:val="Normal (Web)"/>
    <w:uiPriority w:val="99"/>
    <w:rsid w:val="00A950E3"/>
    <w:pPr>
      <w:pBdr>
        <w:top w:val="nil"/>
        <w:left w:val="nil"/>
        <w:bottom w:val="nil"/>
        <w:right w:val="nil"/>
        <w:between w:val="nil"/>
        <w:bar w:val="nil"/>
      </w:pBdr>
      <w:spacing w:after="150" w:line="240" w:lineRule="auto"/>
    </w:pPr>
    <w:rPr>
      <w:rFonts w:ascii="Times New Roman" w:eastAsia="Arial Unicode MS" w:hAnsi="Times New Roman" w:cs="Arial Unicode MS"/>
      <w:color w:val="000000"/>
      <w:sz w:val="24"/>
      <w:szCs w:val="24"/>
      <w:u w:color="000000"/>
      <w:bdr w:val="nil"/>
      <w:lang w:val="en-GB" w:eastAsia="tr-TR"/>
    </w:rPr>
  </w:style>
  <w:style w:type="character" w:customStyle="1" w:styleId="YokA">
    <w:name w:val="Yok A"/>
    <w:rsid w:val="00A950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470</Words>
  <Characters>2684</Characters>
  <Application>Microsoft Office Word</Application>
  <DocSecurity>0</DocSecurity>
  <Lines>22</Lines>
  <Paragraphs>6</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STM SAVUNMA TEKNOLOJILERI</Company>
  <LinksUpToDate>false</LinksUpToDate>
  <CharactersWithSpaces>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Seyfettin ERSÖZ</dc:creator>
  <cp:keywords/>
  <dc:description/>
  <cp:lastModifiedBy>Seyfettin ERSÖZ</cp:lastModifiedBy>
  <cp:revision>5</cp:revision>
  <dcterms:created xsi:type="dcterms:W3CDTF">2025-12-17T06:00:00Z</dcterms:created>
  <dcterms:modified xsi:type="dcterms:W3CDTF">2025-12-26T04:27:00Z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fd11315c-4c5f-4f4d-a0b7-17f3105011be</vt:lpwstr>
  </property>
  <property fmtid="{D5CDD505-2E9C-101B-9397-08002B2CF9AE}" pid="3" name="Category">
    <vt:lpwstr>CT1</vt:lpwstr>
  </property>
  <property fmtid="{D5CDD505-2E9C-101B-9397-08002B2CF9AE}" pid="4" name="Language">
    <vt:lpwstr>TR</vt:lpwstr>
  </property>
  <property fmtid="{D5CDD505-2E9C-101B-9397-08002B2CF9AE}" pid="5" name="Classification">
    <vt:lpwstr>Hc2n3B9s</vt:lpwstr>
  </property>
  <property fmtid="{D5CDD505-2E9C-101B-9397-08002B2CF9AE}" pid="6" name="KVKK">
    <vt:lpwstr>65veE7AK</vt:lpwstr>
  </property>
</Properties>
</file>