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610B" w14:textId="7E0A4E22" w:rsidR="00530DD8" w:rsidRPr="00053700" w:rsidRDefault="00530DD8" w:rsidP="002905F8">
      <w:pPr>
        <w:pStyle w:val="NormalWeb"/>
        <w:jc w:val="both"/>
        <w:rPr>
          <w:rFonts w:ascii="Tahoma" w:hAnsi="Tahoma" w:cs="Tahoma"/>
          <w:b/>
          <w:color w:val="000000" w:themeColor="text1"/>
          <w:lang w:bidi="en-GB"/>
        </w:rPr>
      </w:pPr>
      <w:r w:rsidRPr="00053700">
        <w:rPr>
          <w:rStyle w:val="YokA"/>
          <w:rFonts w:ascii="Tahoma" w:hAnsi="Tahoma" w:cs="Tahoma"/>
          <w:b/>
          <w:noProof/>
          <w:szCs w:val="28"/>
          <w:lang w:val="en-US" w:bidi="en-US"/>
        </w:rPr>
        <mc:AlternateContent>
          <mc:Choice Requires="wps">
            <w:drawing>
              <wp:anchor distT="0" distB="0" distL="0" distR="0" simplePos="0" relativeHeight="251659264" behindDoc="0" locked="0" layoutInCell="1" allowOverlap="1" wp14:anchorId="5F5CB264" wp14:editId="023485A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3F4274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053700">
        <w:rPr>
          <w:rStyle w:val="YokA"/>
          <w:rFonts w:ascii="Tahoma" w:hAnsi="Tahoma" w:cs="Tahoma"/>
          <w:b/>
          <w:szCs w:val="28"/>
          <w:lang w:val="en-US" w:bidi="en-US"/>
        </w:rPr>
        <w:t xml:space="preserve">   Press Release                                                                                  </w:t>
      </w:r>
      <w:r w:rsidR="00B844A6" w:rsidRPr="00053700">
        <w:rPr>
          <w:rStyle w:val="YokA"/>
          <w:rFonts w:ascii="Tahoma" w:hAnsi="Tahoma" w:cs="Tahoma"/>
          <w:b/>
          <w:szCs w:val="28"/>
          <w:lang w:val="en-US" w:bidi="en-US"/>
        </w:rPr>
        <w:t xml:space="preserve">April </w:t>
      </w:r>
      <w:r w:rsidRPr="00053700">
        <w:rPr>
          <w:rStyle w:val="YokA"/>
          <w:rFonts w:ascii="Tahoma" w:hAnsi="Tahoma" w:cs="Tahoma"/>
          <w:b/>
          <w:szCs w:val="28"/>
          <w:lang w:val="en-US" w:bidi="en-US"/>
        </w:rPr>
        <w:t>202</w:t>
      </w:r>
      <w:r w:rsidR="00910FB2" w:rsidRPr="00053700">
        <w:rPr>
          <w:rStyle w:val="YokA"/>
          <w:rFonts w:ascii="Tahoma" w:hAnsi="Tahoma" w:cs="Tahoma"/>
          <w:b/>
          <w:szCs w:val="28"/>
          <w:lang w:val="en-US" w:bidi="en-US"/>
        </w:rPr>
        <w:t>6</w:t>
      </w:r>
    </w:p>
    <w:p w14:paraId="024594CE" w14:textId="7022BE90" w:rsidR="00B844A6" w:rsidRPr="00053700" w:rsidRDefault="002905F8" w:rsidP="002905F8">
      <w:pPr>
        <w:pStyle w:val="NormalWeb"/>
        <w:jc w:val="center"/>
        <w:rPr>
          <w:rFonts w:ascii="Tahoma" w:hAnsi="Tahoma" w:cs="Tahoma"/>
          <w:b/>
          <w:szCs w:val="28"/>
          <w:lang w:val="en-US" w:bidi="en-US"/>
        </w:rPr>
      </w:pPr>
      <w:r w:rsidRPr="002905F8">
        <w:rPr>
          <w:rFonts w:ascii="Tahoma" w:hAnsi="Tahoma" w:cs="Tahoma"/>
          <w:b/>
          <w:szCs w:val="28"/>
          <w:lang w:val="en-US" w:bidi="en-US"/>
        </w:rPr>
        <w:t>STM: A Key Partner for Malaysia, Presenting Cutting-Edge Naval and Unmanned Solutions at DSA 2026</w:t>
      </w:r>
    </w:p>
    <w:p w14:paraId="75E4F73E" w14:textId="6C66093D" w:rsidR="00B844A6" w:rsidRDefault="002905F8" w:rsidP="002905F8">
      <w:pPr>
        <w:pStyle w:val="NormalWeb"/>
        <w:jc w:val="center"/>
        <w:rPr>
          <w:rFonts w:ascii="Tahoma" w:hAnsi="Tahoma" w:cs="Tahoma"/>
          <w:i/>
          <w:sz w:val="22"/>
          <w:lang w:val="en-US" w:bidi="en-US"/>
        </w:rPr>
      </w:pPr>
      <w:r w:rsidRPr="002905F8">
        <w:rPr>
          <w:rFonts w:ascii="Tahoma" w:hAnsi="Tahoma" w:cs="Tahoma"/>
          <w:i/>
          <w:sz w:val="22"/>
          <w:lang w:val="en-US" w:bidi="en-US"/>
        </w:rPr>
        <w:t>STM, a global leader in naval engineering and autonomous aerial and naval systems, will present its combat-proven technologies at Defence Services Asia (DSA) 2026, highlighting its deepening role as a trusted partner for Malaysia.</w:t>
      </w:r>
    </w:p>
    <w:p w14:paraId="715CF6AF" w14:textId="77777777" w:rsidR="002905F8" w:rsidRPr="002905F8" w:rsidRDefault="002905F8" w:rsidP="002905F8">
      <w:pPr>
        <w:pStyle w:val="NormalWeb"/>
        <w:jc w:val="both"/>
        <w:rPr>
          <w:rFonts w:ascii="Tahoma" w:hAnsi="Tahoma" w:cs="Tahoma"/>
          <w:sz w:val="20"/>
          <w:szCs w:val="20"/>
          <w:lang w:val="en-US" w:bidi="en-US"/>
        </w:rPr>
      </w:pPr>
      <w:r w:rsidRPr="002905F8">
        <w:rPr>
          <w:rFonts w:ascii="Tahoma" w:hAnsi="Tahoma" w:cs="Tahoma"/>
          <w:sz w:val="20"/>
          <w:szCs w:val="20"/>
          <w:lang w:val="en-US" w:bidi="en-US"/>
        </w:rPr>
        <w:t>STM Savunma Teknolojileri Mühendislik ve Ticaret A.Ş., a subsidiary of the Presidency of the Republic of Türkiye, Secretariat of Defence Industries (SSB), brings its experience, which has been gained through the company’s efforts to meet Türkiye’s needs, to friendly and allied nations through cooperation and technology transfer. Participating in DSA 2026 in Kuala Lumpur from April 20–23, STM aims to reinforce its presence in the Asia-Pacific by showcasing its naval dominance and field-proven unmanned solutions.</w:t>
      </w:r>
    </w:p>
    <w:p w14:paraId="7833B946" w14:textId="0C244C7B" w:rsidR="002905F8" w:rsidRPr="002905F8" w:rsidRDefault="002905F8" w:rsidP="002905F8">
      <w:pPr>
        <w:pStyle w:val="NormalWeb"/>
        <w:jc w:val="both"/>
        <w:rPr>
          <w:rFonts w:ascii="Tahoma" w:hAnsi="Tahoma" w:cs="Tahoma"/>
          <w:b/>
          <w:bCs/>
          <w:sz w:val="20"/>
          <w:szCs w:val="20"/>
          <w:lang w:val="en-US" w:bidi="en-US"/>
        </w:rPr>
      </w:pPr>
      <w:r w:rsidRPr="002905F8">
        <w:rPr>
          <w:rFonts w:ascii="Tahoma" w:hAnsi="Tahoma" w:cs="Tahoma"/>
          <w:b/>
          <w:bCs/>
          <w:sz w:val="20"/>
          <w:szCs w:val="20"/>
          <w:lang w:val="en-US" w:bidi="en-US"/>
        </w:rPr>
        <w:t>Strengthening Malaysia’s Maritime Defen</w:t>
      </w:r>
      <w:r>
        <w:rPr>
          <w:rFonts w:ascii="Tahoma" w:hAnsi="Tahoma" w:cs="Tahoma"/>
          <w:b/>
          <w:bCs/>
          <w:sz w:val="20"/>
          <w:szCs w:val="20"/>
          <w:lang w:val="en-US" w:bidi="en-US"/>
        </w:rPr>
        <w:t>c</w:t>
      </w:r>
      <w:r w:rsidRPr="002905F8">
        <w:rPr>
          <w:rFonts w:ascii="Tahoma" w:hAnsi="Tahoma" w:cs="Tahoma"/>
          <w:b/>
          <w:bCs/>
          <w:sz w:val="20"/>
          <w:szCs w:val="20"/>
          <w:lang w:val="en-US" w:bidi="en-US"/>
        </w:rPr>
        <w:t>e</w:t>
      </w:r>
    </w:p>
    <w:p w14:paraId="043C3BBF" w14:textId="77777777" w:rsidR="002905F8" w:rsidRPr="002905F8" w:rsidRDefault="002905F8" w:rsidP="002905F8">
      <w:pPr>
        <w:pStyle w:val="NormalWeb"/>
        <w:jc w:val="both"/>
        <w:rPr>
          <w:rFonts w:ascii="Tahoma" w:hAnsi="Tahoma" w:cs="Tahoma"/>
          <w:sz w:val="20"/>
          <w:szCs w:val="20"/>
          <w:lang w:val="en-US" w:bidi="en-US"/>
        </w:rPr>
      </w:pPr>
      <w:r w:rsidRPr="002905F8">
        <w:rPr>
          <w:rFonts w:ascii="Tahoma" w:hAnsi="Tahoma" w:cs="Tahoma"/>
          <w:sz w:val="20"/>
          <w:szCs w:val="20"/>
          <w:lang w:val="en-US" w:bidi="en-US"/>
        </w:rPr>
        <w:t>STM has solidified its position as one of the most critical partners for Malaysia through large-scale, high-tech projects tailored to the country's security requirements. At DSA 2026, STM will showcase detailed models of the LMS Batch-2 (Littoral Mission Ship) project, where the construction of three corvettes is successfully progressing in Türkiye to enhance Malaysia’s naval capabilities. Building on this partnership, visitors will also have the opportunity to examine the model of the innovative Multi-Role Support Ship (MRSS), a design introduced in 2025 and specifically engineered by STM to meet the unique operational and multifaceted requirements of the Royal Malaysian Navy.</w:t>
      </w:r>
    </w:p>
    <w:p w14:paraId="6ADA1118" w14:textId="2142397F" w:rsidR="002905F8" w:rsidRPr="002905F8" w:rsidRDefault="002905F8" w:rsidP="002905F8">
      <w:pPr>
        <w:pStyle w:val="NormalWeb"/>
        <w:jc w:val="both"/>
        <w:rPr>
          <w:rFonts w:ascii="Tahoma" w:hAnsi="Tahoma" w:cs="Tahoma"/>
          <w:sz w:val="20"/>
          <w:szCs w:val="20"/>
          <w:lang w:val="en-US" w:bidi="en-US"/>
        </w:rPr>
      </w:pPr>
      <w:r w:rsidRPr="002905F8">
        <w:rPr>
          <w:rFonts w:ascii="Tahoma" w:hAnsi="Tahoma" w:cs="Tahoma"/>
          <w:sz w:val="20"/>
          <w:szCs w:val="20"/>
          <w:lang w:val="en-US" w:bidi="en-US"/>
        </w:rPr>
        <w:t xml:space="preserve">Beyond surface platforms, STM is displaying its world-class expertise in submarine modernization through its advanced underwater solutions. Following its landmark success in the modernization of Pakistan’s </w:t>
      </w:r>
      <w:r>
        <w:rPr>
          <w:rFonts w:ascii="Tahoma" w:hAnsi="Tahoma" w:cs="Tahoma"/>
          <w:sz w:val="20"/>
          <w:szCs w:val="20"/>
          <w:lang w:val="en-US" w:bidi="en-US"/>
        </w:rPr>
        <w:t xml:space="preserve">French made </w:t>
      </w:r>
      <w:r w:rsidRPr="002905F8">
        <w:rPr>
          <w:rFonts w:ascii="Tahoma" w:hAnsi="Tahoma" w:cs="Tahoma"/>
          <w:sz w:val="20"/>
          <w:szCs w:val="20"/>
          <w:lang w:val="en-US" w:bidi="en-US"/>
        </w:rPr>
        <w:t>Agosta 90B-class submarines and its ongoing leadership in the modernization of ten Type-209 submarines for the Turkish Navy, STM will present the models of the STM500 shallow-water submarine and the STM NETA unmanned autonomous underwater vehicle, highlighting its strategic edge in maritime security to regional stakeholders. STM will also display models of the İ-Class Frigate (Türkiye’s first national frigate - TCG İSTANBUL) and the National Fast Attack Craft, alongside the Logistic Support Ship currently being built for the Portuguese Navy.</w:t>
      </w:r>
    </w:p>
    <w:p w14:paraId="763EA680" w14:textId="77777777" w:rsidR="002905F8" w:rsidRPr="002905F8" w:rsidRDefault="002905F8" w:rsidP="002905F8">
      <w:pPr>
        <w:pStyle w:val="NormalWeb"/>
        <w:jc w:val="both"/>
        <w:rPr>
          <w:rFonts w:ascii="Tahoma" w:hAnsi="Tahoma" w:cs="Tahoma"/>
          <w:b/>
          <w:bCs/>
          <w:sz w:val="20"/>
          <w:szCs w:val="20"/>
          <w:lang w:val="en-US" w:bidi="en-US"/>
        </w:rPr>
      </w:pPr>
      <w:r w:rsidRPr="002905F8">
        <w:rPr>
          <w:rFonts w:ascii="Tahoma" w:hAnsi="Tahoma" w:cs="Tahoma"/>
          <w:b/>
          <w:bCs/>
          <w:sz w:val="20"/>
          <w:szCs w:val="20"/>
          <w:lang w:val="en-US" w:bidi="en-US"/>
        </w:rPr>
        <w:t>Leading Innovations in Unmanned Technologies</w:t>
      </w:r>
    </w:p>
    <w:p w14:paraId="2CFDC77D" w14:textId="77777777" w:rsidR="002905F8" w:rsidRPr="002905F8" w:rsidRDefault="002905F8" w:rsidP="002905F8">
      <w:pPr>
        <w:pStyle w:val="NormalWeb"/>
        <w:jc w:val="both"/>
        <w:rPr>
          <w:rFonts w:ascii="Tahoma" w:hAnsi="Tahoma" w:cs="Tahoma"/>
          <w:sz w:val="20"/>
          <w:szCs w:val="20"/>
          <w:lang w:val="en-US" w:bidi="en-US"/>
        </w:rPr>
      </w:pPr>
      <w:r w:rsidRPr="002905F8">
        <w:rPr>
          <w:rFonts w:ascii="Tahoma" w:hAnsi="Tahoma" w:cs="Tahoma"/>
          <w:sz w:val="20"/>
          <w:szCs w:val="20"/>
          <w:lang w:val="en-US" w:bidi="en-US"/>
        </w:rPr>
        <w:t>In the field of autonomous systems, STM continues to offer combat-proven solutions that are currently in active service across multiple international markets. At DSA 2026, the company is placing a particular emphasis on TOGAN, its autonomous surveillance system which is currently being actively used by three different countries for border and energy security. The unmanned technologies display will also feature the rotary-wing loitering munition KARGU, which has achieved global success across four continents, and the BOYGA ammunition-drop UAV, reflecting STM’s ability to provide integrated and reliable solutions for modern theater requirements.</w:t>
      </w:r>
    </w:p>
    <w:p w14:paraId="4BBA815D" w14:textId="77777777" w:rsidR="002905F8" w:rsidRPr="002905F8" w:rsidRDefault="002905F8" w:rsidP="002905F8">
      <w:pPr>
        <w:pStyle w:val="NormalWeb"/>
        <w:jc w:val="both"/>
        <w:rPr>
          <w:rFonts w:ascii="Tahoma" w:hAnsi="Tahoma" w:cs="Tahoma"/>
          <w:b/>
          <w:bCs/>
          <w:sz w:val="20"/>
          <w:szCs w:val="20"/>
          <w:lang w:val="en-US" w:bidi="en-US"/>
        </w:rPr>
      </w:pPr>
      <w:r w:rsidRPr="002905F8">
        <w:rPr>
          <w:rFonts w:ascii="Tahoma" w:hAnsi="Tahoma" w:cs="Tahoma"/>
          <w:b/>
          <w:bCs/>
          <w:sz w:val="20"/>
          <w:szCs w:val="20"/>
          <w:lang w:val="en-US" w:bidi="en-US"/>
        </w:rPr>
        <w:t>Güleryüz: Empowering Allies with Flexible Engineering and Fast Delivery</w:t>
      </w:r>
    </w:p>
    <w:p w14:paraId="550E6687" w14:textId="77777777" w:rsidR="002905F8" w:rsidRPr="002905F8" w:rsidRDefault="002905F8" w:rsidP="002905F8">
      <w:pPr>
        <w:pStyle w:val="NormalWeb"/>
        <w:jc w:val="both"/>
        <w:rPr>
          <w:rFonts w:ascii="Tahoma" w:hAnsi="Tahoma" w:cs="Tahoma"/>
          <w:sz w:val="20"/>
          <w:szCs w:val="20"/>
          <w:lang w:val="en-US" w:bidi="en-US"/>
        </w:rPr>
      </w:pPr>
      <w:r w:rsidRPr="002905F8">
        <w:rPr>
          <w:rFonts w:ascii="Tahoma" w:hAnsi="Tahoma" w:cs="Tahoma"/>
          <w:sz w:val="20"/>
          <w:szCs w:val="20"/>
          <w:lang w:val="en-US" w:bidi="en-US"/>
        </w:rPr>
        <w:t>Commenting on the upcoming DSA 2026 Exhibition, Özgür Güleryüz, General Manager of STM, stated:</w:t>
      </w:r>
    </w:p>
    <w:p w14:paraId="6285A830" w14:textId="1BFBC8BA" w:rsidR="002905F8" w:rsidRPr="002905F8" w:rsidRDefault="002905F8" w:rsidP="002905F8">
      <w:pPr>
        <w:pStyle w:val="NormalWeb"/>
        <w:jc w:val="both"/>
        <w:rPr>
          <w:rFonts w:ascii="Tahoma" w:hAnsi="Tahoma" w:cs="Tahoma"/>
          <w:sz w:val="20"/>
          <w:szCs w:val="20"/>
          <w:lang w:val="en-US" w:bidi="en-US"/>
        </w:rPr>
      </w:pPr>
      <w:r w:rsidRPr="002905F8">
        <w:rPr>
          <w:rFonts w:ascii="Tahoma" w:hAnsi="Tahoma" w:cs="Tahoma"/>
          <w:sz w:val="20"/>
          <w:szCs w:val="20"/>
          <w:lang w:val="en-US" w:bidi="en-US"/>
        </w:rPr>
        <w:t>“We are proud to serve as a trusted partner in enhancing the defen</w:t>
      </w:r>
      <w:r>
        <w:rPr>
          <w:rFonts w:ascii="Tahoma" w:hAnsi="Tahoma" w:cs="Tahoma"/>
          <w:sz w:val="20"/>
          <w:szCs w:val="20"/>
          <w:lang w:val="en-US" w:bidi="en-US"/>
        </w:rPr>
        <w:t>c</w:t>
      </w:r>
      <w:r w:rsidRPr="002905F8">
        <w:rPr>
          <w:rFonts w:ascii="Tahoma" w:hAnsi="Tahoma" w:cs="Tahoma"/>
          <w:sz w:val="20"/>
          <w:szCs w:val="20"/>
          <w:lang w:val="en-US" w:bidi="en-US"/>
        </w:rPr>
        <w:t>e capabilities of Malaysia, a friendly and allied nation. A cornerstone of this relationship is the LMS Batch-2 project, where the construction of three corvettes is progressing at full speed in Türkiye; we are on track to launch all three vessels within this year. At STM, we aim to expand this strategic partnership into new domains by leveraging our global expertise in both naval and aerial unmanned systems.</w:t>
      </w:r>
      <w:r>
        <w:rPr>
          <w:rFonts w:ascii="Tahoma" w:hAnsi="Tahoma" w:cs="Tahoma"/>
          <w:sz w:val="20"/>
          <w:szCs w:val="20"/>
          <w:lang w:val="en-US" w:bidi="en-US"/>
        </w:rPr>
        <w:t xml:space="preserve"> </w:t>
      </w:r>
      <w:r w:rsidRPr="002905F8">
        <w:rPr>
          <w:rFonts w:ascii="Tahoma" w:hAnsi="Tahoma" w:cs="Tahoma"/>
          <w:sz w:val="20"/>
          <w:szCs w:val="20"/>
          <w:lang w:val="en-US" w:bidi="en-US"/>
        </w:rPr>
        <w:t>Our strength lies in our flexible engineering approach, allowing us to deliver tailor-made, cost-effective solutions that meet specific operational needs at NATO standards. Through our commitment to fast delivery and open technology transfer (know-how), we empower our partners to achieve self-sufficiency. DSA 2026 provides a premier platform for us to engage with delegations across the Asia-Pacific, as we look to foster new collaborations and share our combat-proven engineering capabilities with the entire region.”</w:t>
      </w:r>
    </w:p>
    <w:p w14:paraId="4D9DDE13" w14:textId="77777777" w:rsidR="002905F8" w:rsidRPr="002905F8" w:rsidRDefault="002905F8" w:rsidP="002905F8">
      <w:pPr>
        <w:pStyle w:val="NormalWeb"/>
        <w:jc w:val="both"/>
        <w:rPr>
          <w:rFonts w:ascii="Tahoma" w:hAnsi="Tahoma" w:cs="Tahoma"/>
          <w:b/>
          <w:bCs/>
          <w:sz w:val="20"/>
          <w:szCs w:val="20"/>
          <w:lang w:val="en-US" w:bidi="en-US"/>
        </w:rPr>
      </w:pPr>
      <w:r w:rsidRPr="002905F8">
        <w:rPr>
          <w:rFonts w:ascii="Tahoma" w:hAnsi="Tahoma" w:cs="Tahoma"/>
          <w:b/>
          <w:bCs/>
          <w:sz w:val="20"/>
          <w:szCs w:val="20"/>
          <w:lang w:val="en-US" w:bidi="en-US"/>
        </w:rPr>
        <w:t>STM Booth Information</w:t>
      </w:r>
    </w:p>
    <w:p w14:paraId="62A9B3A3" w14:textId="77777777" w:rsidR="002905F8" w:rsidRPr="002905F8" w:rsidRDefault="002905F8" w:rsidP="002905F8">
      <w:pPr>
        <w:pStyle w:val="NormalWeb"/>
        <w:jc w:val="both"/>
        <w:rPr>
          <w:rFonts w:ascii="Tahoma" w:hAnsi="Tahoma" w:cs="Tahoma"/>
          <w:sz w:val="20"/>
          <w:szCs w:val="20"/>
          <w:lang w:val="en-US" w:bidi="en-US"/>
        </w:rPr>
      </w:pPr>
      <w:r w:rsidRPr="002905F8">
        <w:rPr>
          <w:rFonts w:ascii="Tahoma" w:hAnsi="Tahoma" w:cs="Tahoma"/>
          <w:sz w:val="20"/>
          <w:szCs w:val="20"/>
          <w:lang w:val="en-US" w:bidi="en-US"/>
        </w:rPr>
        <w:lastRenderedPageBreak/>
        <w:t>Stand No: 2100-G (Hall 2)</w:t>
      </w:r>
    </w:p>
    <w:p w14:paraId="235D5061" w14:textId="77777777" w:rsidR="002905F8" w:rsidRPr="002905F8" w:rsidRDefault="002905F8" w:rsidP="002905F8">
      <w:pPr>
        <w:pStyle w:val="NormalWeb"/>
        <w:jc w:val="both"/>
        <w:rPr>
          <w:rFonts w:ascii="Tahoma" w:hAnsi="Tahoma" w:cs="Tahoma"/>
          <w:sz w:val="20"/>
          <w:szCs w:val="20"/>
          <w:lang w:val="en-US" w:bidi="en-US"/>
        </w:rPr>
      </w:pPr>
      <w:r w:rsidRPr="002905F8">
        <w:rPr>
          <w:rFonts w:ascii="Tahoma" w:hAnsi="Tahoma" w:cs="Tahoma"/>
          <w:sz w:val="20"/>
          <w:szCs w:val="20"/>
          <w:lang w:val="en-US" w:bidi="en-US"/>
        </w:rPr>
        <w:t>Date: April 20–23, 2026</w:t>
      </w:r>
    </w:p>
    <w:p w14:paraId="500A9D4F" w14:textId="4DE15CC0" w:rsidR="002905F8" w:rsidRDefault="002905F8" w:rsidP="002905F8">
      <w:pPr>
        <w:pStyle w:val="NormalWeb"/>
        <w:jc w:val="both"/>
        <w:rPr>
          <w:rFonts w:ascii="Tahoma" w:hAnsi="Tahoma" w:cs="Tahoma"/>
          <w:sz w:val="20"/>
          <w:szCs w:val="20"/>
          <w:lang w:val="en-US" w:bidi="en-US"/>
        </w:rPr>
      </w:pPr>
      <w:r w:rsidRPr="002905F8">
        <w:rPr>
          <w:rFonts w:ascii="Tahoma" w:hAnsi="Tahoma" w:cs="Tahoma"/>
          <w:sz w:val="20"/>
          <w:szCs w:val="20"/>
          <w:lang w:val="en-US" w:bidi="en-US"/>
        </w:rPr>
        <w:t>Location: Kuala Lumpur, Malaysia</w:t>
      </w:r>
    </w:p>
    <w:p w14:paraId="07938835" w14:textId="11A9BC3A" w:rsidR="00910FB2" w:rsidRPr="001F2867" w:rsidRDefault="00910FB2" w:rsidP="002905F8">
      <w:pPr>
        <w:jc w:val="both"/>
        <w:rPr>
          <w:rFonts w:ascii="Tahoma" w:hAnsi="Tahoma" w:cs="Tahoma"/>
          <w:b/>
          <w:sz w:val="18"/>
          <w:szCs w:val="20"/>
          <w:u w:color="000000"/>
          <w:bdr w:val="nil"/>
          <w:lang w:bidi="en-US"/>
        </w:rPr>
      </w:pPr>
      <w:r w:rsidRPr="001F2867">
        <w:rPr>
          <w:rFonts w:ascii="Tahoma" w:hAnsi="Tahoma" w:cs="Tahoma"/>
          <w:b/>
          <w:sz w:val="18"/>
          <w:szCs w:val="20"/>
          <w:u w:color="000000"/>
          <w:bdr w:val="nil"/>
          <w:lang w:bidi="en-US"/>
        </w:rPr>
        <w:t>About STM</w:t>
      </w:r>
    </w:p>
    <w:p w14:paraId="1D131ED7" w14:textId="77777777" w:rsidR="00217DF1" w:rsidRDefault="00217DF1" w:rsidP="002905F8">
      <w:pPr>
        <w:jc w:val="both"/>
        <w:rPr>
          <w:rFonts w:ascii="Tahoma" w:hAnsi="Tahoma" w:cs="Tahoma"/>
          <w:bCs/>
          <w:sz w:val="18"/>
          <w:szCs w:val="20"/>
          <w:u w:color="000000"/>
          <w:bdr w:val="nil"/>
          <w:lang w:bidi="en-US"/>
        </w:rPr>
      </w:pPr>
    </w:p>
    <w:p w14:paraId="616F7A97" w14:textId="12748758" w:rsidR="00910FB2" w:rsidRPr="001F2867" w:rsidRDefault="00910FB2" w:rsidP="002905F8">
      <w:pPr>
        <w:jc w:val="both"/>
        <w:rPr>
          <w:rFonts w:ascii="Tahoma" w:hAnsi="Tahoma" w:cs="Tahoma"/>
          <w:bCs/>
          <w:sz w:val="18"/>
          <w:szCs w:val="20"/>
          <w:u w:color="000000"/>
          <w:bdr w:val="nil"/>
          <w:lang w:bidi="en-US"/>
        </w:rPr>
      </w:pPr>
      <w:r w:rsidRPr="001F2867">
        <w:rPr>
          <w:rFonts w:ascii="Tahoma" w:hAnsi="Tahoma" w:cs="Tahoma"/>
          <w:bCs/>
          <w:sz w:val="18"/>
          <w:szCs w:val="20"/>
          <w:u w:color="000000"/>
          <w:bdr w:val="nil"/>
          <w:lang w:bidi="en-US"/>
        </w:rPr>
        <w:t>STM has been serving the Turkish defen</w:t>
      </w:r>
      <w:r w:rsidR="002905F8">
        <w:rPr>
          <w:rFonts w:ascii="Tahoma" w:hAnsi="Tahoma" w:cs="Tahoma"/>
          <w:bCs/>
          <w:sz w:val="18"/>
          <w:szCs w:val="20"/>
          <w:u w:color="000000"/>
          <w:bdr w:val="nil"/>
          <w:lang w:bidi="en-US"/>
        </w:rPr>
        <w:t>c</w:t>
      </w:r>
      <w:r w:rsidRPr="001F2867">
        <w:rPr>
          <w:rFonts w:ascii="Tahoma" w:hAnsi="Tahoma" w:cs="Tahoma"/>
          <w:bCs/>
          <w:sz w:val="18"/>
          <w:szCs w:val="20"/>
          <w:u w:color="000000"/>
          <w:bdr w:val="nil"/>
          <w:lang w:bidi="en-US"/>
        </w:rPr>
        <w:t>e sector for the last 3</w:t>
      </w:r>
      <w:r w:rsidR="001F2867" w:rsidRPr="001F2867">
        <w:rPr>
          <w:rFonts w:ascii="Tahoma" w:hAnsi="Tahoma" w:cs="Tahoma"/>
          <w:bCs/>
          <w:sz w:val="18"/>
          <w:szCs w:val="20"/>
          <w:u w:color="000000"/>
          <w:bdr w:val="nil"/>
          <w:lang w:bidi="en-US"/>
        </w:rPr>
        <w:t xml:space="preserve">5 </w:t>
      </w:r>
      <w:r w:rsidRPr="001F2867">
        <w:rPr>
          <w:rFonts w:ascii="Tahoma" w:hAnsi="Tahoma" w:cs="Tahoma"/>
          <w:bCs/>
          <w:sz w:val="18"/>
          <w:szCs w:val="20"/>
          <w:u w:color="000000"/>
          <w:bdr w:val="nil"/>
          <w:lang w:bidi="en-US"/>
        </w:rPr>
        <w:t>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mini</w:t>
      </w:r>
      <w:r w:rsidR="001565A4">
        <w:rPr>
          <w:rFonts w:ascii="Tahoma" w:hAnsi="Tahoma" w:cs="Tahoma"/>
          <w:bCs/>
          <w:sz w:val="18"/>
          <w:szCs w:val="20"/>
          <w:u w:color="000000"/>
          <w:bdr w:val="nil"/>
          <w:lang w:bidi="en-US"/>
        </w:rPr>
        <w:t xml:space="preserve"> </w:t>
      </w:r>
      <w:r w:rsidRPr="001F2867">
        <w:rPr>
          <w:rFonts w:ascii="Tahoma" w:hAnsi="Tahoma" w:cs="Tahoma"/>
          <w:bCs/>
          <w:sz w:val="18"/>
          <w:szCs w:val="20"/>
          <w:u w:color="000000"/>
          <w:bdr w:val="nil"/>
          <w:lang w:bidi="en-US"/>
        </w:rPr>
        <w:t>UAV systems, from command and control systems to cybersecurity, and from big data analytics to artificial intelligence applications.</w:t>
      </w:r>
    </w:p>
    <w:sectPr w:rsidR="00910FB2" w:rsidRPr="001F28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F3FD" w14:textId="77777777" w:rsidR="00D372C5" w:rsidRDefault="00D372C5" w:rsidP="00104512">
      <w:r>
        <w:separator/>
      </w:r>
    </w:p>
  </w:endnote>
  <w:endnote w:type="continuationSeparator" w:id="0">
    <w:p w14:paraId="1A11D4D7" w14:textId="77777777" w:rsidR="00D372C5" w:rsidRDefault="00D372C5" w:rsidP="001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A65C" w14:textId="77777777" w:rsidR="00104512" w:rsidRDefault="001045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893E" w14:textId="73199CA0" w:rsidR="00A2624E" w:rsidRPr="00B953DF" w:rsidRDefault="00D372C5" w:rsidP="00B953D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0F96" w14:textId="77777777" w:rsidR="00104512" w:rsidRDefault="001045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6062" w14:textId="77777777" w:rsidR="00D372C5" w:rsidRDefault="00D372C5" w:rsidP="00104512">
      <w:r>
        <w:separator/>
      </w:r>
    </w:p>
  </w:footnote>
  <w:footnote w:type="continuationSeparator" w:id="0">
    <w:p w14:paraId="2EC3F962" w14:textId="77777777" w:rsidR="00D372C5" w:rsidRDefault="00D372C5" w:rsidP="0010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7B22" w14:textId="77777777" w:rsidR="00104512" w:rsidRDefault="001045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2D2C" w14:textId="24DCA3EB" w:rsidR="00A2624E" w:rsidRPr="00B953DF" w:rsidRDefault="00B953DF" w:rsidP="00B953DF">
    <w:pPr>
      <w:pStyle w:val="stBilgi"/>
    </w:pPr>
    <w:r>
      <w:rPr>
        <w:noProof/>
        <w:lang w:bidi="en-US"/>
      </w:rPr>
      <w:drawing>
        <wp:inline distT="0" distB="0" distL="0" distR="0" wp14:anchorId="3F892944" wp14:editId="0C00E6B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E565" w14:textId="77777777" w:rsidR="00104512" w:rsidRDefault="0010451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E6"/>
    <w:rsid w:val="00053700"/>
    <w:rsid w:val="00104512"/>
    <w:rsid w:val="00113F64"/>
    <w:rsid w:val="00124032"/>
    <w:rsid w:val="001328C4"/>
    <w:rsid w:val="001565A4"/>
    <w:rsid w:val="00170550"/>
    <w:rsid w:val="001F2867"/>
    <w:rsid w:val="00217DF1"/>
    <w:rsid w:val="00252941"/>
    <w:rsid w:val="002905F8"/>
    <w:rsid w:val="0030006B"/>
    <w:rsid w:val="003113E6"/>
    <w:rsid w:val="00335C55"/>
    <w:rsid w:val="00360BAE"/>
    <w:rsid w:val="003A6249"/>
    <w:rsid w:val="004E0CAD"/>
    <w:rsid w:val="004E6FCE"/>
    <w:rsid w:val="00506B52"/>
    <w:rsid w:val="00530DD8"/>
    <w:rsid w:val="00636340"/>
    <w:rsid w:val="007704EC"/>
    <w:rsid w:val="00773C91"/>
    <w:rsid w:val="0078411C"/>
    <w:rsid w:val="00821F3C"/>
    <w:rsid w:val="0085060F"/>
    <w:rsid w:val="00882DF6"/>
    <w:rsid w:val="008D48EE"/>
    <w:rsid w:val="00910FB2"/>
    <w:rsid w:val="00914066"/>
    <w:rsid w:val="00937932"/>
    <w:rsid w:val="00941ADC"/>
    <w:rsid w:val="009C311B"/>
    <w:rsid w:val="009D5205"/>
    <w:rsid w:val="009E751D"/>
    <w:rsid w:val="00A629E2"/>
    <w:rsid w:val="00A80C94"/>
    <w:rsid w:val="00AA49C5"/>
    <w:rsid w:val="00B77EE3"/>
    <w:rsid w:val="00B84177"/>
    <w:rsid w:val="00B844A6"/>
    <w:rsid w:val="00B953DF"/>
    <w:rsid w:val="00BD0FA0"/>
    <w:rsid w:val="00C56C63"/>
    <w:rsid w:val="00D372C5"/>
    <w:rsid w:val="00D7539E"/>
    <w:rsid w:val="00DC3FE5"/>
    <w:rsid w:val="00DF7CFC"/>
    <w:rsid w:val="00E15A53"/>
    <w:rsid w:val="00E27775"/>
    <w:rsid w:val="00E9606D"/>
    <w:rsid w:val="00EB2F62"/>
    <w:rsid w:val="00EC57FD"/>
    <w:rsid w:val="00ED0C52"/>
    <w:rsid w:val="00ED1C2A"/>
    <w:rsid w:val="00F02141"/>
    <w:rsid w:val="00F83A63"/>
    <w:rsid w:val="00FB14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D70"/>
  <w15:chartTrackingRefBased/>
  <w15:docId w15:val="{19071779-D706-4918-8108-2D459991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6B"/>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0006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0006B"/>
  </w:style>
  <w:style w:type="character" w:styleId="Kpr">
    <w:name w:val="Hyperlink"/>
    <w:basedOn w:val="VarsaylanParagrafYazTipi"/>
    <w:uiPriority w:val="99"/>
    <w:unhideWhenUsed/>
    <w:rsid w:val="0030006B"/>
    <w:rPr>
      <w:color w:val="0563C1" w:themeColor="hyperlink"/>
      <w:u w:val="single"/>
    </w:rPr>
  </w:style>
  <w:style w:type="paragraph" w:styleId="stBilgi">
    <w:name w:val="header"/>
    <w:basedOn w:val="Normal"/>
    <w:link w:val="stBilgiChar"/>
    <w:uiPriority w:val="99"/>
    <w:unhideWhenUsed/>
    <w:rsid w:val="0030006B"/>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30006B"/>
    <w:rPr>
      <w:lang w:val="en-US"/>
    </w:rPr>
  </w:style>
  <w:style w:type="paragraph" w:styleId="AltBilgi">
    <w:name w:val="footer"/>
    <w:basedOn w:val="Normal"/>
    <w:link w:val="AltBilgiChar"/>
    <w:uiPriority w:val="99"/>
    <w:unhideWhenUsed/>
    <w:rsid w:val="0030006B"/>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30006B"/>
    <w:rPr>
      <w:lang w:val="en-US"/>
    </w:rPr>
  </w:style>
  <w:style w:type="character" w:styleId="zmlenmeyenBahsetme">
    <w:name w:val="Unresolved Mention"/>
    <w:basedOn w:val="VarsaylanParagrafYazTipi"/>
    <w:uiPriority w:val="99"/>
    <w:semiHidden/>
    <w:unhideWhenUsed/>
    <w:rsid w:val="0091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37177">
      <w:bodyDiv w:val="1"/>
      <w:marLeft w:val="0"/>
      <w:marRight w:val="0"/>
      <w:marTop w:val="0"/>
      <w:marBottom w:val="0"/>
      <w:divBdr>
        <w:top w:val="none" w:sz="0" w:space="0" w:color="auto"/>
        <w:left w:val="none" w:sz="0" w:space="0" w:color="auto"/>
        <w:bottom w:val="none" w:sz="0" w:space="0" w:color="auto"/>
        <w:right w:val="none" w:sz="0" w:space="0" w:color="auto"/>
      </w:divBdr>
    </w:div>
    <w:div w:id="21257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734</Words>
  <Characters>4185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19</cp:revision>
  <dcterms:created xsi:type="dcterms:W3CDTF">2024-01-31T14:47:00Z</dcterms:created>
  <dcterms:modified xsi:type="dcterms:W3CDTF">2026-04-15T07:41:00Z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6aff4bc4-fd48-4627-8121-9fb90f0fd501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