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A09F" w14:textId="77777777" w:rsidR="00EA119B" w:rsidRPr="00540D1B" w:rsidRDefault="00EA119B" w:rsidP="00EA119B">
      <w:pPr>
        <w:pStyle w:val="NormalWeb"/>
        <w:rPr>
          <w:rFonts w:ascii="Tahoma" w:hAnsi="Tahoma" w:cs="Tahoma"/>
          <w:b/>
          <w:color w:val="000000" w:themeColor="text1"/>
          <w:lang w:val="tr-TR" w:bidi="en-GB"/>
        </w:rPr>
      </w:pPr>
      <w:r w:rsidRPr="00540D1B">
        <w:rPr>
          <w:noProof/>
          <w:lang w:val="tr-TR"/>
        </w:rPr>
        <mc:AlternateContent>
          <mc:Choice Requires="wps">
            <w:drawing>
              <wp:anchor distT="0" distB="0" distL="0" distR="0" simplePos="0" relativeHeight="251659264" behindDoc="0" locked="0" layoutInCell="1" allowOverlap="1" wp14:anchorId="796DD910" wp14:editId="062D242A">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3FFE3647"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sidRPr="00540D1B">
        <w:rPr>
          <w:rStyle w:val="YokA"/>
          <w:rFonts w:ascii="Tahoma" w:hAnsi="Tahoma" w:cs="Tahoma"/>
          <w:b/>
          <w:color w:val="000000" w:themeColor="text1"/>
          <w:sz w:val="22"/>
          <w:szCs w:val="22"/>
          <w:lang w:val="tr-TR" w:bidi="en-GB"/>
        </w:rPr>
        <w:t xml:space="preserve"> </w:t>
      </w:r>
      <w:r w:rsidRPr="00540D1B">
        <w:rPr>
          <w:rStyle w:val="YokA"/>
          <w:rFonts w:ascii="Tahoma" w:hAnsi="Tahoma" w:cs="Tahoma"/>
          <w:b/>
          <w:color w:val="000000" w:themeColor="text1"/>
          <w:lang w:val="tr-TR" w:bidi="en-GB"/>
        </w:rPr>
        <w:t>Basın Bülteni                                                                                    Mayıs 2026</w:t>
      </w:r>
    </w:p>
    <w:p w14:paraId="438872F6" w14:textId="2992C5C8" w:rsidR="00EA119B" w:rsidRPr="00540D1B" w:rsidRDefault="00EA119B" w:rsidP="00EA119B">
      <w:pPr>
        <w:jc w:val="both"/>
        <w:rPr>
          <w:rFonts w:ascii="Tahoma" w:hAnsi="Tahoma" w:cs="Tahoma"/>
          <w:b/>
          <w:sz w:val="18"/>
          <w:szCs w:val="18"/>
          <w:lang w:val="tr-TR"/>
        </w:rPr>
      </w:pPr>
    </w:p>
    <w:p w14:paraId="66CA5720" w14:textId="1A451978" w:rsidR="00DF5883" w:rsidRPr="00540D1B" w:rsidRDefault="00DF5883" w:rsidP="00EA119B">
      <w:pPr>
        <w:jc w:val="center"/>
        <w:rPr>
          <w:rFonts w:ascii="Tahoma" w:hAnsi="Tahoma" w:cs="Tahoma"/>
          <w:b/>
          <w:sz w:val="24"/>
          <w:szCs w:val="24"/>
          <w:lang w:val="tr-TR"/>
        </w:rPr>
      </w:pPr>
      <w:r w:rsidRPr="00540D1B">
        <w:rPr>
          <w:rFonts w:ascii="Tahoma" w:hAnsi="Tahoma" w:cs="Tahoma"/>
          <w:b/>
          <w:sz w:val="24"/>
          <w:szCs w:val="24"/>
          <w:lang w:val="tr-TR"/>
        </w:rPr>
        <w:t>Mavi Vatan’ın Derinliklerine İnsansız Koruyucu</w:t>
      </w:r>
    </w:p>
    <w:p w14:paraId="37502FC3" w14:textId="77777777" w:rsidR="00DF5883" w:rsidRPr="00540D1B" w:rsidRDefault="00DF5883" w:rsidP="00EA119B">
      <w:pPr>
        <w:jc w:val="center"/>
        <w:rPr>
          <w:rFonts w:ascii="Tahoma" w:hAnsi="Tahoma" w:cs="Tahoma"/>
          <w:b/>
          <w:sz w:val="24"/>
          <w:szCs w:val="24"/>
          <w:lang w:val="tr-TR"/>
        </w:rPr>
      </w:pPr>
    </w:p>
    <w:p w14:paraId="3BAE1634" w14:textId="66BA87AD" w:rsidR="007D03B8" w:rsidRPr="00540D1B" w:rsidRDefault="007D03B8" w:rsidP="00EA119B">
      <w:pPr>
        <w:jc w:val="center"/>
        <w:rPr>
          <w:rFonts w:ascii="Tahoma" w:hAnsi="Tahoma" w:cs="Tahoma"/>
          <w:b/>
          <w:sz w:val="24"/>
          <w:szCs w:val="24"/>
          <w:lang w:val="tr-TR"/>
        </w:rPr>
      </w:pPr>
      <w:r w:rsidRPr="00540D1B">
        <w:rPr>
          <w:rFonts w:ascii="Tahoma" w:hAnsi="Tahoma" w:cs="Tahoma"/>
          <w:b/>
          <w:sz w:val="24"/>
          <w:szCs w:val="24"/>
          <w:lang w:val="tr-TR"/>
        </w:rPr>
        <w:t>STM, Sualtındaki Yeni Amiral Gemisi “TENGİZ”</w:t>
      </w:r>
      <w:r w:rsidR="00DF5883" w:rsidRPr="00540D1B">
        <w:rPr>
          <w:rFonts w:ascii="Tahoma" w:hAnsi="Tahoma" w:cs="Tahoma"/>
          <w:b/>
          <w:sz w:val="24"/>
          <w:szCs w:val="24"/>
          <w:lang w:val="tr-TR"/>
        </w:rPr>
        <w:t xml:space="preserve">i Gün Yüzüne Çıkardı </w:t>
      </w:r>
    </w:p>
    <w:p w14:paraId="4A066427" w14:textId="1C1DDEC9" w:rsidR="00EA119B" w:rsidRPr="00540D1B" w:rsidRDefault="00EA119B" w:rsidP="00EA119B">
      <w:pPr>
        <w:jc w:val="both"/>
        <w:rPr>
          <w:rFonts w:ascii="Tahoma" w:hAnsi="Tahoma" w:cs="Tahoma"/>
          <w:b/>
          <w:sz w:val="18"/>
          <w:szCs w:val="18"/>
          <w:lang w:val="tr-TR"/>
        </w:rPr>
      </w:pPr>
    </w:p>
    <w:p w14:paraId="3A7678C8" w14:textId="2FE0BEA6" w:rsidR="00DF5883" w:rsidRPr="00540D1B" w:rsidRDefault="00DF5883" w:rsidP="00931090">
      <w:pPr>
        <w:jc w:val="center"/>
        <w:rPr>
          <w:rFonts w:ascii="Tahoma" w:hAnsi="Tahoma" w:cs="Tahoma"/>
          <w:bCs/>
          <w:i/>
          <w:iCs/>
          <w:lang w:val="tr-TR"/>
        </w:rPr>
      </w:pPr>
      <w:r w:rsidRPr="00540D1B">
        <w:rPr>
          <w:rFonts w:ascii="Tahoma" w:hAnsi="Tahoma" w:cs="Tahoma"/>
          <w:bCs/>
          <w:i/>
          <w:iCs/>
          <w:lang w:val="tr-TR"/>
        </w:rPr>
        <w:t>STM, Otonom İnsansız Sualtı Ailesi’nin en büyük üyesi TENGİZ’i ilk kez SAHA 2026’da gün yüzüne çıkardı. Ekstra Büyük Sınıf İnsansız Sualtı Aracı TENGİZ, esnek görev yapısı, ağır torpido fırlatma kabiliyeti, akıllı mühimmat fırlatma kapasitesi ve üstün otonomi özellikleriyle Mavi Vatan savunmasında oyun değiştirici bir güç çarpanı olacak.</w:t>
      </w:r>
    </w:p>
    <w:p w14:paraId="44B452D6" w14:textId="77777777" w:rsidR="00DF5883" w:rsidRPr="00540D1B" w:rsidRDefault="00DF5883" w:rsidP="00931090">
      <w:pPr>
        <w:jc w:val="center"/>
        <w:rPr>
          <w:rFonts w:ascii="Tahoma" w:hAnsi="Tahoma" w:cs="Tahoma"/>
          <w:bCs/>
          <w:i/>
          <w:iCs/>
          <w:lang w:val="tr-TR"/>
        </w:rPr>
      </w:pPr>
    </w:p>
    <w:p w14:paraId="72C38068" w14:textId="5E16E875" w:rsidR="000C5A3D" w:rsidRPr="00540D1B" w:rsidRDefault="000C5A3D" w:rsidP="00EA119B">
      <w:pPr>
        <w:jc w:val="both"/>
        <w:rPr>
          <w:rFonts w:ascii="Tahoma" w:hAnsi="Tahoma" w:cs="Tahoma"/>
          <w:bCs/>
          <w:sz w:val="18"/>
          <w:szCs w:val="18"/>
          <w:lang w:val="tr-TR"/>
        </w:rPr>
      </w:pPr>
      <w:r w:rsidRPr="00540D1B">
        <w:rPr>
          <w:rFonts w:ascii="Tahoma" w:hAnsi="Tahoma" w:cs="Tahoma"/>
          <w:bCs/>
          <w:sz w:val="18"/>
          <w:szCs w:val="18"/>
          <w:lang w:val="tr-TR"/>
        </w:rPr>
        <w:t>Türk savunma sanayiinin milli projelerinde kritik roller üstlenen STM Savunma Teknolojileri Mühendislik ve Ticaret A.Ş., sualtı platformlarındaki tecrübesini insansız sistemlerle bir üst seviyeye taşıyor. STM’nin kendi öz kaynaklarıyla geliştirdiği Büyük Otonom İnsansız Sualtı Aracı TENGİZ, 400 metreyi aşan görev derinliği ve 20 günü geçen operasyon süresiyle denizlerdeki yeni güç çarpanı olarak ilk kez SAHA 2026’da kamuoyuna tanıtıldı.</w:t>
      </w:r>
    </w:p>
    <w:p w14:paraId="6D1663EB" w14:textId="54BEB879" w:rsidR="0068192C" w:rsidRPr="00540D1B" w:rsidRDefault="0068192C" w:rsidP="00EA119B">
      <w:pPr>
        <w:jc w:val="both"/>
        <w:rPr>
          <w:rFonts w:ascii="Tahoma" w:hAnsi="Tahoma" w:cs="Tahoma"/>
          <w:b/>
          <w:sz w:val="18"/>
          <w:szCs w:val="18"/>
          <w:lang w:val="tr-TR"/>
        </w:rPr>
      </w:pPr>
    </w:p>
    <w:p w14:paraId="04D9A70A" w14:textId="3CF6CB8A" w:rsidR="000C5A3D" w:rsidRPr="00540D1B" w:rsidRDefault="009900CA" w:rsidP="000C5A3D">
      <w:pPr>
        <w:jc w:val="both"/>
        <w:rPr>
          <w:rFonts w:ascii="Tahoma" w:hAnsi="Tahoma" w:cs="Tahoma"/>
          <w:b/>
          <w:sz w:val="18"/>
          <w:szCs w:val="18"/>
          <w:lang w:val="tr-TR"/>
        </w:rPr>
      </w:pPr>
      <w:r w:rsidRPr="00540D1B">
        <w:rPr>
          <w:rFonts w:ascii="Tahoma" w:hAnsi="Tahoma" w:cs="Tahoma"/>
          <w:b/>
          <w:sz w:val="18"/>
          <w:szCs w:val="18"/>
          <w:lang w:val="tr-TR"/>
        </w:rPr>
        <w:t>Güleryüz: STM’nin İnsansız Sualtı Ailesi Büyüyor</w:t>
      </w:r>
    </w:p>
    <w:p w14:paraId="7657DD0E" w14:textId="1894942D" w:rsidR="000C5A3D" w:rsidRPr="00540D1B" w:rsidRDefault="000C5A3D" w:rsidP="000C5A3D">
      <w:pPr>
        <w:jc w:val="both"/>
        <w:rPr>
          <w:rFonts w:ascii="Tahoma" w:hAnsi="Tahoma" w:cs="Tahoma"/>
          <w:b/>
          <w:sz w:val="18"/>
          <w:szCs w:val="18"/>
          <w:lang w:val="tr-TR"/>
        </w:rPr>
      </w:pPr>
    </w:p>
    <w:p w14:paraId="2CE9D651" w14:textId="4D46DF20" w:rsidR="000C5A3D" w:rsidRPr="00540D1B" w:rsidRDefault="000C5A3D" w:rsidP="000C5A3D">
      <w:pPr>
        <w:jc w:val="both"/>
        <w:rPr>
          <w:rFonts w:ascii="Tahoma" w:hAnsi="Tahoma" w:cs="Tahoma"/>
          <w:bCs/>
          <w:sz w:val="18"/>
          <w:szCs w:val="18"/>
          <w:lang w:val="tr-TR"/>
        </w:rPr>
      </w:pPr>
      <w:r w:rsidRPr="00540D1B">
        <w:rPr>
          <w:rFonts w:ascii="Tahoma" w:hAnsi="Tahoma" w:cs="Tahoma"/>
          <w:bCs/>
          <w:sz w:val="18"/>
          <w:szCs w:val="18"/>
          <w:lang w:val="tr-TR"/>
        </w:rPr>
        <w:t xml:space="preserve">STM Genel Müdürü Özgür Güleryüz, STM’nin askeri denizcilik tecrübesini otonom teknolojileri ile birleştirerek, Mavi Vatan savunmasında oyun değiştirici platformlar geliştirdiğini belirterek şunları kaydetti: </w:t>
      </w:r>
    </w:p>
    <w:p w14:paraId="5635A22A" w14:textId="49960C2D" w:rsidR="000C5A3D" w:rsidRPr="00540D1B" w:rsidRDefault="009900CA" w:rsidP="00EA119B">
      <w:pPr>
        <w:jc w:val="both"/>
        <w:rPr>
          <w:rFonts w:ascii="Tahoma" w:hAnsi="Tahoma" w:cs="Tahoma"/>
          <w:bCs/>
          <w:sz w:val="18"/>
          <w:szCs w:val="18"/>
          <w:lang w:val="tr-TR"/>
        </w:rPr>
      </w:pPr>
      <w:r w:rsidRPr="00540D1B">
        <w:rPr>
          <w:rFonts w:ascii="Tahoma" w:hAnsi="Tahoma" w:cs="Tahoma"/>
          <w:bCs/>
          <w:sz w:val="18"/>
          <w:szCs w:val="18"/>
          <w:lang w:val="tr-TR"/>
        </w:rPr>
        <w:t>“İnsansız otonom sualtı araçları yolculuğumuza, yüksek yerlilik oranıyla geliştirdiğimiz STM NETA 300 ile başlamıştık. NETA 300’ün deniz testlerini başarıyla tamamlamış olmanın verdiği gururla, şimdi bu aileyi orta ve büyük sınıftaki yeni üyelerimizle genişletiyoruz. TENGİZ bu ailemizin en büyük ve en yetkin üyesi olarak öne çıkıyor. TENGİZ, konvansiyonel bir denizaltının icra edebileceği hemen hemen tüm kritik görevleri, personelimizi riske atmadan, insansız ve yüksek otonomiyle gerçekleştirebilecek bir platformdur. İstihbarattan mayın harbine, torpido atışından 'ana gemi' konseptine kadar sunduğu bu devasa kapasite, Türkiye’nin sualtındaki teknolojik egemenliğini perçinleyecektir.”</w:t>
      </w:r>
    </w:p>
    <w:p w14:paraId="3BCB3117" w14:textId="62EB441F" w:rsidR="009900CA" w:rsidRPr="00540D1B" w:rsidRDefault="009900CA" w:rsidP="00EA119B">
      <w:pPr>
        <w:jc w:val="both"/>
        <w:rPr>
          <w:rFonts w:ascii="Tahoma" w:hAnsi="Tahoma" w:cs="Tahoma"/>
          <w:b/>
          <w:sz w:val="18"/>
          <w:szCs w:val="18"/>
          <w:lang w:val="tr-TR"/>
        </w:rPr>
      </w:pPr>
    </w:p>
    <w:p w14:paraId="087EFE12" w14:textId="35BAA437" w:rsidR="009900CA" w:rsidRPr="00540D1B" w:rsidRDefault="009900CA" w:rsidP="009900CA">
      <w:pPr>
        <w:jc w:val="both"/>
        <w:rPr>
          <w:rFonts w:ascii="Tahoma" w:hAnsi="Tahoma" w:cs="Tahoma"/>
          <w:b/>
          <w:sz w:val="18"/>
          <w:szCs w:val="18"/>
          <w:lang w:val="tr-TR"/>
        </w:rPr>
      </w:pPr>
      <w:r w:rsidRPr="00540D1B">
        <w:rPr>
          <w:rFonts w:ascii="Tahoma" w:hAnsi="Tahoma" w:cs="Tahoma"/>
          <w:b/>
          <w:sz w:val="18"/>
          <w:szCs w:val="18"/>
          <w:lang w:val="tr-TR"/>
        </w:rPr>
        <w:t>Derinliklerin Görünmez Muhafızı</w:t>
      </w:r>
    </w:p>
    <w:p w14:paraId="6141FB6A" w14:textId="7CB88768" w:rsidR="00152A20" w:rsidRPr="00540D1B" w:rsidRDefault="00152A20" w:rsidP="00152A20">
      <w:pPr>
        <w:jc w:val="both"/>
        <w:rPr>
          <w:rFonts w:ascii="Tahoma" w:hAnsi="Tahoma" w:cs="Tahoma"/>
          <w:b/>
          <w:sz w:val="18"/>
          <w:szCs w:val="18"/>
          <w:lang w:val="tr-TR"/>
        </w:rPr>
      </w:pPr>
    </w:p>
    <w:p w14:paraId="581412E9" w14:textId="7AEFC449" w:rsidR="00152A20" w:rsidRPr="00540D1B" w:rsidRDefault="00B00D59" w:rsidP="00152A20">
      <w:pPr>
        <w:jc w:val="both"/>
        <w:rPr>
          <w:rFonts w:ascii="Tahoma" w:hAnsi="Tahoma" w:cs="Tahoma"/>
          <w:bCs/>
          <w:sz w:val="18"/>
          <w:szCs w:val="18"/>
          <w:lang w:val="tr-TR"/>
        </w:rPr>
      </w:pPr>
      <w:r w:rsidRPr="00540D1B">
        <w:rPr>
          <w:rFonts w:ascii="Tahoma" w:hAnsi="Tahoma" w:cs="Tahoma"/>
          <w:bCs/>
          <w:sz w:val="18"/>
          <w:szCs w:val="18"/>
          <w:lang w:val="tr-TR"/>
        </w:rPr>
        <w:t xml:space="preserve">Adını Eski Türkçe’de 'deniz' ve 'sonsuz su' anlamına gelen kelimeden alan TENGİZ, </w:t>
      </w:r>
      <w:r w:rsidR="00152A20" w:rsidRPr="00540D1B">
        <w:rPr>
          <w:rFonts w:ascii="Tahoma" w:hAnsi="Tahoma" w:cs="Tahoma"/>
          <w:bCs/>
          <w:sz w:val="18"/>
          <w:szCs w:val="18"/>
          <w:lang w:val="tr-TR"/>
        </w:rPr>
        <w:t>sualtı harbinin temel gereksinimlerini karşılamak üzere çok amaçlı bir operasyonel yapı sunuyor. Platform; istihbarat, gözetleme ve keşif (ISR) faaliyetlerinin yanı sıra denizaltı savunma harbi kapsamında hedef takibi ve bariyer kurma görevlerini yerine getiriyor. Elektronik harp, sinyal istihbaratı ve deniz tabanı haritalama gibi teknik görevlerde de kullanılan TENGİZ, kritik altyapıların denetiminde rol alırken aynı zamanda taarruzi mayın harbi kapsamında belirlenen alanlara mayın dökme kabiliyetine sahip bulunuyor.</w:t>
      </w:r>
    </w:p>
    <w:p w14:paraId="14E23537" w14:textId="77777777" w:rsidR="00152A20" w:rsidRPr="00540D1B" w:rsidRDefault="00152A20" w:rsidP="00152A20">
      <w:pPr>
        <w:jc w:val="both"/>
        <w:rPr>
          <w:rFonts w:ascii="Tahoma" w:hAnsi="Tahoma" w:cs="Tahoma"/>
          <w:b/>
          <w:sz w:val="18"/>
          <w:szCs w:val="18"/>
          <w:lang w:val="tr-TR"/>
        </w:rPr>
      </w:pPr>
    </w:p>
    <w:p w14:paraId="7A1CCBA4" w14:textId="77777777" w:rsidR="00152A20" w:rsidRPr="00540D1B" w:rsidRDefault="00152A20" w:rsidP="00152A20">
      <w:pPr>
        <w:jc w:val="both"/>
        <w:rPr>
          <w:rFonts w:ascii="Tahoma" w:hAnsi="Tahoma" w:cs="Tahoma"/>
          <w:bCs/>
          <w:sz w:val="18"/>
          <w:szCs w:val="18"/>
          <w:lang w:val="tr-TR"/>
        </w:rPr>
      </w:pPr>
      <w:r w:rsidRPr="00540D1B">
        <w:rPr>
          <w:rFonts w:ascii="Tahoma" w:hAnsi="Tahoma" w:cs="Tahoma"/>
          <w:bCs/>
          <w:sz w:val="18"/>
          <w:szCs w:val="18"/>
          <w:lang w:val="tr-TR"/>
        </w:rPr>
        <w:t>Ağır ve çok hafif torpido fırlatma yeteneğine sahip olan TENGİZ, bünyesinde STM NETA 300 otonom sualtı aracını ve ALPAGUT akıllı dolanan mühimmat sistemini taşıyıp sualtından fırlatabilen bir "ana gemi" (mothership) yapısıyla çalışıyor. ADVENT Komuta Kontrol mimarisi sayesinde ağ merkezli harp konseptine dahil olan platform, uydu haberleşmesi üzerinden veri aktarımı gerçekleştiriyor. 40 feet ISO konteyner boyutlarıyla uyumlu olan TENGİZ, limanların yanı sıra lojistik destek gemileri ve TCG ANADOLU (LHD) gibi havuzlu gemilerden otonom olarak göreve başlayabiliyor.</w:t>
      </w:r>
    </w:p>
    <w:p w14:paraId="1F0E13DD" w14:textId="77777777" w:rsidR="00152A20" w:rsidRPr="00540D1B" w:rsidRDefault="00152A20" w:rsidP="00152A20">
      <w:pPr>
        <w:jc w:val="both"/>
        <w:rPr>
          <w:rFonts w:ascii="Tahoma" w:hAnsi="Tahoma" w:cs="Tahoma"/>
          <w:b/>
          <w:sz w:val="18"/>
          <w:szCs w:val="18"/>
          <w:lang w:val="tr-TR"/>
        </w:rPr>
      </w:pPr>
    </w:p>
    <w:p w14:paraId="02DCFA68" w14:textId="17CC98C9" w:rsidR="00152A20" w:rsidRPr="00540D1B" w:rsidRDefault="00152A20" w:rsidP="00152A20">
      <w:pPr>
        <w:jc w:val="both"/>
        <w:rPr>
          <w:rFonts w:ascii="Tahoma" w:hAnsi="Tahoma" w:cs="Tahoma"/>
          <w:b/>
          <w:sz w:val="18"/>
          <w:szCs w:val="18"/>
          <w:lang w:val="tr-TR"/>
        </w:rPr>
      </w:pPr>
      <w:r w:rsidRPr="00540D1B">
        <w:rPr>
          <w:rFonts w:ascii="Tahoma" w:hAnsi="Tahoma" w:cs="Tahoma"/>
          <w:b/>
          <w:sz w:val="18"/>
          <w:szCs w:val="18"/>
          <w:lang w:val="tr-TR"/>
        </w:rPr>
        <w:t xml:space="preserve">400 metre Derinlerde 20 Günden Fazla Görev Süresi </w:t>
      </w:r>
    </w:p>
    <w:p w14:paraId="047F0417" w14:textId="77777777" w:rsidR="00152A20" w:rsidRPr="00540D1B" w:rsidRDefault="00152A20" w:rsidP="00152A20">
      <w:pPr>
        <w:jc w:val="both"/>
        <w:rPr>
          <w:rFonts w:ascii="Tahoma" w:hAnsi="Tahoma" w:cs="Tahoma"/>
          <w:b/>
          <w:sz w:val="18"/>
          <w:szCs w:val="18"/>
          <w:lang w:val="tr-TR"/>
        </w:rPr>
      </w:pPr>
    </w:p>
    <w:p w14:paraId="36AF0BEF" w14:textId="754926E5" w:rsidR="00152A20" w:rsidRDefault="00152A20" w:rsidP="00152A20">
      <w:pPr>
        <w:jc w:val="both"/>
        <w:rPr>
          <w:rFonts w:ascii="Tahoma" w:hAnsi="Tahoma" w:cs="Tahoma"/>
          <w:bCs/>
          <w:sz w:val="18"/>
          <w:szCs w:val="18"/>
          <w:lang w:val="tr-TR"/>
        </w:rPr>
      </w:pPr>
      <w:r w:rsidRPr="00540D1B">
        <w:rPr>
          <w:rFonts w:ascii="Tahoma" w:hAnsi="Tahoma" w:cs="Tahoma"/>
          <w:bCs/>
          <w:sz w:val="18"/>
          <w:szCs w:val="18"/>
          <w:lang w:val="tr-TR"/>
        </w:rPr>
        <w:t xml:space="preserve">Ekstra Büyük Sınıf İnsansız Sualtı Aracı (XLUUV) kategorisinde yer alan TENGİZ; 11,2 metre uzunluğa, 1,6 metre çapa ve 17,8 ton deplasman ağırlığına sahip. 400 metreyi aşan derinliklerde görev icra edebilen platform, sualtında 8 </w:t>
      </w:r>
      <w:r w:rsidR="00540D1B">
        <w:rPr>
          <w:rFonts w:ascii="Tahoma" w:hAnsi="Tahoma" w:cs="Tahoma"/>
          <w:bCs/>
          <w:sz w:val="18"/>
          <w:szCs w:val="18"/>
          <w:lang w:val="tr-TR"/>
        </w:rPr>
        <w:t>knotun</w:t>
      </w:r>
      <w:r w:rsidR="00540D1B" w:rsidRPr="00540D1B">
        <w:rPr>
          <w:rFonts w:ascii="Tahoma" w:hAnsi="Tahoma" w:cs="Tahoma"/>
          <w:bCs/>
          <w:sz w:val="18"/>
          <w:szCs w:val="18"/>
          <w:lang w:val="tr-TR"/>
        </w:rPr>
        <w:t xml:space="preserve"> </w:t>
      </w:r>
      <w:r w:rsidRPr="00540D1B">
        <w:rPr>
          <w:rFonts w:ascii="Tahoma" w:hAnsi="Tahoma" w:cs="Tahoma"/>
          <w:bCs/>
          <w:sz w:val="18"/>
          <w:szCs w:val="18"/>
          <w:lang w:val="tr-TR"/>
        </w:rPr>
        <w:t>üzerinde hıza ulaşabiliyor. Sistem mimarisi ve enerji kapasitesi, aracın herhangi bir dış desteğe ihtiyaç duymadan 20 günü aşkın süre boyunca kesintisiz operasyon sürdürmesine olanak tanıyor.</w:t>
      </w:r>
    </w:p>
    <w:p w14:paraId="12660A44" w14:textId="6FA49BE8" w:rsidR="00CA56CB" w:rsidRDefault="00CA56CB" w:rsidP="00152A20">
      <w:pPr>
        <w:jc w:val="both"/>
        <w:rPr>
          <w:rFonts w:ascii="Tahoma" w:hAnsi="Tahoma" w:cs="Tahoma"/>
          <w:bCs/>
          <w:sz w:val="18"/>
          <w:szCs w:val="18"/>
          <w:lang w:val="tr-TR"/>
        </w:rPr>
      </w:pPr>
    </w:p>
    <w:p w14:paraId="100C9153" w14:textId="16866748" w:rsidR="00B00D59" w:rsidRDefault="00CA56CB" w:rsidP="00152A20">
      <w:pPr>
        <w:jc w:val="both"/>
        <w:rPr>
          <w:rFonts w:ascii="Tahoma" w:hAnsi="Tahoma" w:cs="Tahoma"/>
          <w:b/>
          <w:color w:val="FF0000"/>
          <w:sz w:val="20"/>
          <w:szCs w:val="20"/>
          <w:lang w:val="tr-TR"/>
        </w:rPr>
      </w:pPr>
      <w:r w:rsidRPr="00CA56CB">
        <w:rPr>
          <w:rFonts w:ascii="Tahoma" w:hAnsi="Tahoma" w:cs="Tahoma"/>
          <w:b/>
          <w:color w:val="FF0000"/>
          <w:sz w:val="20"/>
          <w:szCs w:val="20"/>
          <w:lang w:val="tr-TR"/>
        </w:rPr>
        <w:t xml:space="preserve">STM TENGIZ Videosu için: </w:t>
      </w:r>
      <w:hyperlink r:id="rId7" w:history="1">
        <w:r w:rsidR="00082097" w:rsidRPr="00273A2B">
          <w:rPr>
            <w:rStyle w:val="Kpr"/>
            <w:rFonts w:ascii="Tahoma" w:hAnsi="Tahoma" w:cs="Tahoma"/>
            <w:b/>
            <w:sz w:val="20"/>
            <w:szCs w:val="20"/>
            <w:lang w:val="tr-TR"/>
          </w:rPr>
          <w:t>https://we.tl/t-pii7Vi1d7oMxfKmN</w:t>
        </w:r>
      </w:hyperlink>
    </w:p>
    <w:p w14:paraId="06531312" w14:textId="3C0F3BDB" w:rsidR="00CA56CB" w:rsidRDefault="00CA56CB" w:rsidP="00152A20">
      <w:pPr>
        <w:jc w:val="both"/>
        <w:rPr>
          <w:rFonts w:ascii="Tahoma" w:hAnsi="Tahoma" w:cs="Tahoma"/>
          <w:bCs/>
          <w:sz w:val="18"/>
          <w:szCs w:val="18"/>
          <w:lang w:val="tr-TR"/>
        </w:rPr>
      </w:pPr>
    </w:p>
    <w:p w14:paraId="64AF2CD1" w14:textId="1CA20289" w:rsidR="00EA119B" w:rsidRPr="00540D1B" w:rsidRDefault="00EA119B" w:rsidP="00EA119B">
      <w:pPr>
        <w:jc w:val="both"/>
        <w:rPr>
          <w:rFonts w:ascii="Tahoma" w:hAnsi="Tahoma" w:cs="Tahoma"/>
          <w:b/>
          <w:sz w:val="18"/>
          <w:szCs w:val="18"/>
          <w:lang w:val="tr-TR"/>
        </w:rPr>
      </w:pPr>
      <w:r w:rsidRPr="00540D1B">
        <w:rPr>
          <w:rFonts w:ascii="Tahoma" w:hAnsi="Tahoma" w:cs="Tahoma"/>
          <w:b/>
          <w:sz w:val="18"/>
          <w:szCs w:val="18"/>
          <w:lang w:val="tr-TR"/>
        </w:rPr>
        <w:t>STM Hakkında</w:t>
      </w:r>
    </w:p>
    <w:p w14:paraId="2F574BE2" w14:textId="77777777" w:rsidR="00EA119B" w:rsidRPr="00540D1B" w:rsidRDefault="00EA119B" w:rsidP="00EA119B">
      <w:pPr>
        <w:jc w:val="both"/>
        <w:rPr>
          <w:rFonts w:ascii="Tahoma" w:hAnsi="Tahoma" w:cs="Tahoma"/>
          <w:sz w:val="18"/>
          <w:szCs w:val="18"/>
          <w:lang w:val="tr-TR"/>
        </w:rPr>
      </w:pPr>
    </w:p>
    <w:p w14:paraId="2325BF38" w14:textId="0C493C1D" w:rsidR="00BF46AF" w:rsidRPr="00AC0ED5" w:rsidRDefault="00BF46AF" w:rsidP="00BF46AF">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4306DD8A" w14:textId="7A258CE0" w:rsidR="00EA119B" w:rsidRPr="00540D1B" w:rsidRDefault="00EA119B" w:rsidP="00EA119B">
      <w:pPr>
        <w:jc w:val="both"/>
        <w:rPr>
          <w:rFonts w:ascii="Tahoma" w:hAnsi="Tahoma" w:cs="Tahoma"/>
          <w:sz w:val="18"/>
          <w:szCs w:val="18"/>
          <w:lang w:val="tr-TR"/>
        </w:rPr>
      </w:pPr>
    </w:p>
    <w:p w14:paraId="6AE3C191" w14:textId="77777777" w:rsidR="00924BC0" w:rsidRPr="00540D1B" w:rsidRDefault="00924BC0">
      <w:pPr>
        <w:rPr>
          <w:lang w:val="tr-TR"/>
        </w:rPr>
      </w:pPr>
    </w:p>
    <w:sectPr w:rsidR="00924BC0" w:rsidRPr="00540D1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595E" w14:textId="77777777" w:rsidR="002A17E1" w:rsidRDefault="002A17E1" w:rsidP="00E153BD">
      <w:r>
        <w:separator/>
      </w:r>
    </w:p>
  </w:endnote>
  <w:endnote w:type="continuationSeparator" w:id="0">
    <w:p w14:paraId="2200E4B9" w14:textId="77777777" w:rsidR="002A17E1" w:rsidRDefault="002A17E1" w:rsidP="00E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7FFB" w14:textId="77777777" w:rsidR="001C4E67" w:rsidRDefault="002A17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BB7E" w14:textId="394146F9" w:rsidR="001C4E67" w:rsidRPr="003E5C27" w:rsidRDefault="002A17E1" w:rsidP="00E153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F72D" w14:textId="77777777" w:rsidR="001C4E67" w:rsidRDefault="002A17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E23A" w14:textId="77777777" w:rsidR="002A17E1" w:rsidRDefault="002A17E1" w:rsidP="00E153BD">
      <w:r>
        <w:separator/>
      </w:r>
    </w:p>
  </w:footnote>
  <w:footnote w:type="continuationSeparator" w:id="0">
    <w:p w14:paraId="6400537A" w14:textId="77777777" w:rsidR="002A17E1" w:rsidRDefault="002A17E1" w:rsidP="00E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21B9" w14:textId="77777777" w:rsidR="001C4E67" w:rsidRDefault="002A17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C89F" w14:textId="79E227D3" w:rsidR="00AA6378" w:rsidRDefault="00995336">
    <w:pPr>
      <w:pStyle w:val="stBilgi"/>
    </w:pPr>
    <w:r>
      <w:rPr>
        <w:noProof/>
        <w:lang w:val="tr-TR" w:eastAsia="tr-TR"/>
      </w:rPr>
      <w:drawing>
        <wp:inline distT="0" distB="0" distL="0" distR="0" wp14:anchorId="7988A45C" wp14:editId="0A1655C3">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B43A" w14:textId="77777777" w:rsidR="001C4E67" w:rsidRDefault="002A17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3078"/>
    <w:multiLevelType w:val="hybridMultilevel"/>
    <w:tmpl w:val="425E8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9A4518"/>
    <w:multiLevelType w:val="hybridMultilevel"/>
    <w:tmpl w:val="E98C5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DA6A0D"/>
    <w:multiLevelType w:val="hybridMultilevel"/>
    <w:tmpl w:val="8A707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0D6D84"/>
    <w:multiLevelType w:val="hybridMultilevel"/>
    <w:tmpl w:val="57582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A93FA2"/>
    <w:multiLevelType w:val="hybridMultilevel"/>
    <w:tmpl w:val="CF769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6A4CC0"/>
    <w:multiLevelType w:val="hybridMultilevel"/>
    <w:tmpl w:val="55A4D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22"/>
    <w:rsid w:val="00004AAC"/>
    <w:rsid w:val="00082097"/>
    <w:rsid w:val="000C5A3D"/>
    <w:rsid w:val="00152A20"/>
    <w:rsid w:val="001C4F5C"/>
    <w:rsid w:val="002A17E1"/>
    <w:rsid w:val="00387200"/>
    <w:rsid w:val="003A47DE"/>
    <w:rsid w:val="004472A8"/>
    <w:rsid w:val="00495A07"/>
    <w:rsid w:val="00540D1B"/>
    <w:rsid w:val="005B6F3E"/>
    <w:rsid w:val="0068192C"/>
    <w:rsid w:val="00771D61"/>
    <w:rsid w:val="00797BB5"/>
    <w:rsid w:val="007C6FA9"/>
    <w:rsid w:val="007D03B8"/>
    <w:rsid w:val="0081337A"/>
    <w:rsid w:val="00852D22"/>
    <w:rsid w:val="00924BC0"/>
    <w:rsid w:val="009277D5"/>
    <w:rsid w:val="00931090"/>
    <w:rsid w:val="009900CA"/>
    <w:rsid w:val="00995336"/>
    <w:rsid w:val="00B00D59"/>
    <w:rsid w:val="00B40967"/>
    <w:rsid w:val="00B9755B"/>
    <w:rsid w:val="00BF46AF"/>
    <w:rsid w:val="00CA56CB"/>
    <w:rsid w:val="00DF5883"/>
    <w:rsid w:val="00E153BD"/>
    <w:rsid w:val="00EA119B"/>
    <w:rsid w:val="00EB69FE"/>
    <w:rsid w:val="00EE7BB9"/>
    <w:rsid w:val="00F40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E1AE"/>
  <w15:chartTrackingRefBased/>
  <w15:docId w15:val="{53564381-B94D-4E4E-94A3-E721BC97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19B"/>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EA119B"/>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ListeParagraf">
    <w:name w:val="List Paragraph"/>
    <w:basedOn w:val="Normal"/>
    <w:uiPriority w:val="34"/>
    <w:qFormat/>
    <w:rsid w:val="00EA119B"/>
    <w:pPr>
      <w:ind w:left="720"/>
      <w:contextualSpacing/>
    </w:pPr>
  </w:style>
  <w:style w:type="character" w:customStyle="1" w:styleId="YokA">
    <w:name w:val="Yok A"/>
    <w:rsid w:val="00EA119B"/>
  </w:style>
  <w:style w:type="paragraph" w:styleId="stBilgi">
    <w:name w:val="header"/>
    <w:basedOn w:val="Normal"/>
    <w:link w:val="stBilgiChar"/>
    <w:uiPriority w:val="99"/>
    <w:unhideWhenUsed/>
    <w:rsid w:val="00EA119B"/>
    <w:pPr>
      <w:tabs>
        <w:tab w:val="center" w:pos="4536"/>
        <w:tab w:val="right" w:pos="9072"/>
      </w:tabs>
    </w:pPr>
  </w:style>
  <w:style w:type="character" w:customStyle="1" w:styleId="stBilgiChar">
    <w:name w:val="Üst Bilgi Char"/>
    <w:basedOn w:val="VarsaylanParagrafYazTipi"/>
    <w:link w:val="stBilgi"/>
    <w:uiPriority w:val="99"/>
    <w:rsid w:val="00EA119B"/>
    <w:rPr>
      <w:rFonts w:ascii="Calibri" w:hAnsi="Calibri" w:cs="Calibri"/>
      <w:u w:color="000000"/>
      <w:lang w:val="en-US"/>
    </w:rPr>
  </w:style>
  <w:style w:type="paragraph" w:styleId="AltBilgi">
    <w:name w:val="footer"/>
    <w:basedOn w:val="Normal"/>
    <w:link w:val="AltBilgiChar"/>
    <w:uiPriority w:val="99"/>
    <w:unhideWhenUsed/>
    <w:rsid w:val="00EA119B"/>
    <w:pPr>
      <w:tabs>
        <w:tab w:val="center" w:pos="4536"/>
        <w:tab w:val="right" w:pos="9072"/>
      </w:tabs>
    </w:pPr>
  </w:style>
  <w:style w:type="character" w:customStyle="1" w:styleId="AltBilgiChar">
    <w:name w:val="Alt Bilgi Char"/>
    <w:basedOn w:val="VarsaylanParagrafYazTipi"/>
    <w:link w:val="AltBilgi"/>
    <w:uiPriority w:val="99"/>
    <w:rsid w:val="00EA119B"/>
    <w:rPr>
      <w:rFonts w:ascii="Calibri" w:hAnsi="Calibri" w:cs="Calibri"/>
      <w:u w:color="000000"/>
      <w:lang w:val="en-US"/>
    </w:rPr>
  </w:style>
  <w:style w:type="character" w:styleId="Kpr">
    <w:name w:val="Hyperlink"/>
    <w:basedOn w:val="VarsaylanParagrafYazTipi"/>
    <w:uiPriority w:val="99"/>
    <w:unhideWhenUsed/>
    <w:rsid w:val="00082097"/>
    <w:rPr>
      <w:color w:val="0563C1" w:themeColor="hyperlink"/>
      <w:u w:val="single"/>
    </w:rPr>
  </w:style>
  <w:style w:type="character" w:styleId="zmlenmeyenBahsetme">
    <w:name w:val="Unresolved Mention"/>
    <w:basedOn w:val="VarsaylanParagrafYazTipi"/>
    <w:uiPriority w:val="99"/>
    <w:semiHidden/>
    <w:unhideWhenUsed/>
    <w:rsid w:val="00082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pii7Vi1d7oMxfKm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616</Words>
  <Characters>3512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14</cp:revision>
  <dcterms:created xsi:type="dcterms:W3CDTF">2026-03-27T12:45:00Z</dcterms:created>
  <dcterms:modified xsi:type="dcterms:W3CDTF">2026-05-04T19:43:00Z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da441210-f412-42e0-be51-e96d62d2d04a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2bda6ba5-e55a-41ff-9c0c-5499342ec2bc</vt:lpwstr>
  </property>
</Properties>
</file>